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January 31, 2025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1"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3960" w:type="dxa"/>
        <w:tblCellMar>
          <w:top w:w="0" w:type="dxa"/>
          <w:left w:w="0" w:type="dxa"/>
          <w:bottom w:w="0" w:type="dxa"/>
          <w:right w:w="0" w:type="dxa"/>
        </w:tblCellMar>
      </w:tblPr>
      <w:tr>
        <w:trPr>
          <w:trHeight w:val="149"/>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660" w:type="dxa"/>
            <w:vAlign w:val="bottom"/>
            <w:tcBorders>
              <w:bottom w:val="single" w:sz="8" w:color="auto"/>
            </w:tcBorders>
          </w:tcPr>
          <w:p>
            <w:pPr>
              <w:spacing w:after="0"/>
              <w:rPr>
                <w:sz w:val="12"/>
                <w:szCs w:val="12"/>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195"/>
        </w:trPr>
        <w:tc>
          <w:tcPr>
            <w:tcW w:w="330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Commission File Number: 001-09769</w:t>
            </w:r>
          </w:p>
        </w:tc>
        <w:tc>
          <w:tcPr>
            <w:tcW w:w="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377"/>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618"/>
              <w:spacing w:after="0"/>
              <w:rPr>
                <w:sz w:val="20"/>
                <w:szCs w:val="20"/>
                <w:color w:val="auto"/>
              </w:rPr>
            </w:pPr>
            <w:r>
              <w:rPr>
                <w:rFonts w:ascii="Times New Roman" w:cs="Times New Roman" w:eastAsia="Times New Roman" w:hAnsi="Times New Roman"/>
                <w:sz w:val="31"/>
                <w:szCs w:val="31"/>
                <w:b w:val="1"/>
                <w:bCs w:val="1"/>
                <w:color w:val="auto"/>
                <w:w w:val="98"/>
              </w:rPr>
              <w:t>Lands’ End, Inc.</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95"/>
        </w:trPr>
        <w:tc>
          <w:tcPr>
            <w:tcW w:w="3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660" w:type="dxa"/>
            <w:vAlign w:val="bottom"/>
          </w:tcPr>
          <w:p>
            <w:pPr>
              <w:jc w:val="center"/>
              <w:ind w:left="181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40" w:type="dxa"/>
            <w:vAlign w:val="bottom"/>
            <w:gridSpan w:val="2"/>
          </w:tcPr>
          <w:p>
            <w:pPr>
              <w:jc w:val="right"/>
              <w:ind w:right="2313"/>
              <w:spacing w:after="0"/>
              <w:rPr>
                <w:sz w:val="20"/>
                <w:szCs w:val="20"/>
                <w:color w:val="auto"/>
              </w:rPr>
            </w:pPr>
            <w:r>
              <w:rPr>
                <w:rFonts w:ascii="Times New Roman" w:cs="Times New Roman" w:eastAsia="Times New Roman" w:hAnsi="Times New Roman"/>
                <w:sz w:val="15"/>
                <w:szCs w:val="15"/>
                <w:b w:val="1"/>
                <w:bCs w:val="1"/>
                <w:color w:val="auto"/>
              </w:rPr>
              <w:t>36-2512786</w:t>
            </w:r>
          </w:p>
        </w:tc>
        <w:tc>
          <w:tcPr>
            <w:tcW w:w="0" w:type="dxa"/>
            <w:vAlign w:val="bottom"/>
          </w:tcPr>
          <w:p>
            <w:pPr>
              <w:spacing w:after="0"/>
              <w:rPr>
                <w:sz w:val="1"/>
                <w:szCs w:val="1"/>
                <w:color w:val="auto"/>
              </w:rPr>
            </w:pPr>
          </w:p>
        </w:tc>
      </w:tr>
      <w:tr>
        <w:trPr>
          <w:trHeight w:val="153"/>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3"/>
                <w:szCs w:val="13"/>
                <w:b w:val="1"/>
                <w:bCs w:val="1"/>
                <w:color w:val="auto"/>
              </w:rPr>
              <w:t>incorporation of organization)</w:t>
            </w:r>
          </w:p>
        </w:tc>
        <w:tc>
          <w:tcPr>
            <w:tcW w:w="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09"/>
        </w:trPr>
        <w:tc>
          <w:tcPr>
            <w:tcW w:w="3660" w:type="dxa"/>
            <w:vAlign w:val="bottom"/>
          </w:tcPr>
          <w:p>
            <w:pPr>
              <w:jc w:val="center"/>
              <w:ind w:left="1792"/>
              <w:spacing w:after="0"/>
              <w:rPr>
                <w:sz w:val="20"/>
                <w:szCs w:val="20"/>
                <w:color w:val="auto"/>
              </w:rPr>
            </w:pPr>
            <w:r>
              <w:rPr>
                <w:rFonts w:ascii="Times New Roman" w:cs="Times New Roman" w:eastAsia="Times New Roman" w:hAnsi="Times New Roman"/>
                <w:sz w:val="15"/>
                <w:szCs w:val="15"/>
                <w:b w:val="1"/>
                <w:bCs w:val="1"/>
                <w:color w:val="auto"/>
              </w:rPr>
              <w:t>5 Lands’ End Lane</w:t>
            </w: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660" w:type="dxa"/>
            <w:vAlign w:val="bottom"/>
          </w:tcPr>
          <w:p>
            <w:pPr>
              <w:jc w:val="center"/>
              <w:ind w:left="1792"/>
              <w:spacing w:after="0" w:line="167" w:lineRule="exact"/>
              <w:rPr>
                <w:sz w:val="20"/>
                <w:szCs w:val="20"/>
                <w:color w:val="auto"/>
              </w:rPr>
            </w:pPr>
            <w:r>
              <w:rPr>
                <w:rFonts w:ascii="Times New Roman" w:cs="Times New Roman" w:eastAsia="Times New Roman" w:hAnsi="Times New Roman"/>
                <w:sz w:val="15"/>
                <w:szCs w:val="15"/>
                <w:b w:val="1"/>
                <w:bCs w:val="1"/>
                <w:color w:val="auto"/>
              </w:rPr>
              <w:t>Dodgeville, Wisconsin</w:t>
            </w:r>
          </w:p>
        </w:tc>
        <w:tc>
          <w:tcPr>
            <w:tcW w:w="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gridSpan w:val="2"/>
          </w:tcPr>
          <w:p>
            <w:pPr>
              <w:jc w:val="right"/>
              <w:ind w:right="2493"/>
              <w:spacing w:after="0" w:line="167" w:lineRule="exact"/>
              <w:rPr>
                <w:sz w:val="20"/>
                <w:szCs w:val="20"/>
                <w:color w:val="auto"/>
              </w:rPr>
            </w:pPr>
            <w:r>
              <w:rPr>
                <w:rFonts w:ascii="Times New Roman" w:cs="Times New Roman" w:eastAsia="Times New Roman" w:hAnsi="Times New Roman"/>
                <w:sz w:val="15"/>
                <w:szCs w:val="15"/>
                <w:b w:val="1"/>
                <w:bCs w:val="1"/>
                <w:color w:val="auto"/>
              </w:rPr>
              <w:t>53595</w:t>
            </w:r>
          </w:p>
        </w:tc>
        <w:tc>
          <w:tcPr>
            <w:tcW w:w="0" w:type="dxa"/>
            <w:vAlign w:val="bottom"/>
          </w:tcPr>
          <w:p>
            <w:pPr>
              <w:spacing w:after="0"/>
              <w:rPr>
                <w:sz w:val="1"/>
                <w:szCs w:val="1"/>
                <w:color w:val="auto"/>
              </w:rPr>
            </w:pPr>
          </w:p>
        </w:tc>
      </w:tr>
      <w:tr>
        <w:trPr>
          <w:trHeight w:val="178"/>
        </w:trPr>
        <w:tc>
          <w:tcPr>
            <w:tcW w:w="6580" w:type="dxa"/>
            <w:vAlign w:val="bottom"/>
            <w:gridSpan w:val="3"/>
          </w:tcPr>
          <w:p>
            <w:pPr>
              <w:jc w:val="center"/>
              <w:ind w:right="97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40" w:type="dxa"/>
            <w:vAlign w:val="bottom"/>
            <w:vMerge w:val="restart"/>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660" w:type="dxa"/>
            <w:vAlign w:val="bottom"/>
          </w:tcPr>
          <w:p>
            <w:pPr>
              <w:spacing w:after="0"/>
              <w:rPr>
                <w:sz w:val="19"/>
                <w:szCs w:val="19"/>
                <w:color w:val="auto"/>
              </w:rPr>
            </w:pPr>
          </w:p>
        </w:tc>
        <w:tc>
          <w:tcPr>
            <w:tcW w:w="2920" w:type="dxa"/>
            <w:vAlign w:val="bottom"/>
            <w:gridSpan w:val="2"/>
          </w:tcPr>
          <w:p>
            <w:pPr>
              <w:jc w:val="center"/>
              <w:ind w:left="933"/>
              <w:spacing w:after="0"/>
              <w:rPr>
                <w:sz w:val="20"/>
                <w:szCs w:val="20"/>
                <w:color w:val="auto"/>
              </w:rPr>
            </w:pPr>
            <w:r>
              <w:rPr>
                <w:rFonts w:ascii="Times New Roman" w:cs="Times New Roman" w:eastAsia="Times New Roman" w:hAnsi="Times New Roman"/>
                <w:sz w:val="13"/>
                <w:szCs w:val="13"/>
                <w:b w:val="1"/>
                <w:bCs w:val="1"/>
                <w:color w:val="auto"/>
              </w:rPr>
              <w:t>(608) 935-9341</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4"/>
          </w:tcPr>
          <w:p>
            <w:pPr>
              <w:jc w:val="center"/>
              <w:ind w:right="3653"/>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12(b) of the Exchange Act:</w:t>
            </w:r>
          </w:p>
        </w:tc>
        <w:tc>
          <w:tcPr>
            <w:tcW w:w="0" w:type="dxa"/>
            <w:vAlign w:val="bottom"/>
          </w:tcPr>
          <w:p>
            <w:pPr>
              <w:spacing w:after="0"/>
              <w:rPr>
                <w:sz w:val="1"/>
                <w:szCs w:val="1"/>
                <w:color w:val="auto"/>
              </w:rPr>
            </w:pPr>
          </w:p>
        </w:tc>
      </w:tr>
      <w:tr>
        <w:trPr>
          <w:trHeight w:val="324"/>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of each class</w:t>
            </w:r>
          </w:p>
        </w:tc>
        <w:tc>
          <w:tcPr>
            <w:tcW w:w="80" w:type="dxa"/>
            <w:vAlign w:val="bottom"/>
          </w:tcPr>
          <w:p>
            <w:pPr>
              <w:spacing w:after="0"/>
              <w:rPr>
                <w:sz w:val="24"/>
                <w:szCs w:val="24"/>
                <w:color w:val="auto"/>
              </w:rPr>
            </w:pPr>
          </w:p>
        </w:tc>
        <w:tc>
          <w:tcPr>
            <w:tcW w:w="2840" w:type="dxa"/>
            <w:vAlign w:val="bottom"/>
          </w:tcPr>
          <w:p>
            <w:pPr>
              <w:jc w:val="center"/>
              <w:ind w:left="858"/>
              <w:spacing w:after="0"/>
              <w:rPr>
                <w:sz w:val="20"/>
                <w:szCs w:val="20"/>
                <w:color w:val="auto"/>
              </w:rPr>
            </w:pPr>
            <w:r>
              <w:rPr>
                <w:rFonts w:ascii="Times New Roman" w:cs="Times New Roman" w:eastAsia="Times New Roman" w:hAnsi="Times New Roman"/>
                <w:sz w:val="13"/>
                <w:szCs w:val="13"/>
                <w:color w:val="auto"/>
              </w:rPr>
              <w:t>Trading Symbol(s)</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3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80" w:type="dxa"/>
            <w:vAlign w:val="bottom"/>
          </w:tcPr>
          <w:p>
            <w:pPr>
              <w:spacing w:after="0"/>
              <w:rPr>
                <w:sz w:val="15"/>
                <w:szCs w:val="15"/>
                <w:color w:val="auto"/>
              </w:rPr>
            </w:pPr>
          </w:p>
        </w:tc>
        <w:tc>
          <w:tcPr>
            <w:tcW w:w="2840" w:type="dxa"/>
            <w:vAlign w:val="bottom"/>
          </w:tcPr>
          <w:p>
            <w:pPr>
              <w:jc w:val="center"/>
              <w:ind w:left="858"/>
              <w:spacing w:after="0"/>
              <w:rPr>
                <w:sz w:val="20"/>
                <w:szCs w:val="20"/>
                <w:color w:val="auto"/>
              </w:rPr>
            </w:pPr>
            <w:r>
              <w:rPr>
                <w:rFonts w:ascii="Times New Roman" w:cs="Times New Roman" w:eastAsia="Times New Roman" w:hAnsi="Times New Roman"/>
                <w:sz w:val="13"/>
                <w:szCs w:val="13"/>
                <w:color w:val="auto"/>
              </w:rPr>
              <w:t>LE</w:t>
            </w: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r>
        <w:trPr>
          <w:trHeight w:val="41"/>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gridSpan w:val="3"/>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7580" w:type="dxa"/>
            <w:vAlign w:val="bottom"/>
            <w:gridSpan w:val="5"/>
          </w:tcPr>
          <w:p>
            <w:pPr>
              <w:jc w:val="center"/>
              <w:ind w:right="3573"/>
              <w:spacing w:after="0"/>
              <w:rPr>
                <w:sz w:val="20"/>
                <w:szCs w:val="20"/>
                <w:color w:val="auto"/>
              </w:rPr>
            </w:pPr>
            <w:r>
              <w:rPr>
                <w:rFonts w:ascii="Times New Roman" w:cs="Times New Roman" w:eastAsia="Times New Roman" w:hAnsi="Times New Roman"/>
                <w:sz w:val="13"/>
                <w:szCs w:val="13"/>
                <w:b w:val="1"/>
                <w:bCs w:val="1"/>
                <w:color w:val="auto"/>
              </w:rPr>
              <w:t>Securities registered under Section 12(g) of the Exchange Act: None</w:t>
            </w:r>
          </w:p>
        </w:tc>
        <w:tc>
          <w:tcPr>
            <w:tcW w:w="0" w:type="dxa"/>
            <w:vAlign w:val="bottom"/>
          </w:tcPr>
          <w:p>
            <w:pPr>
              <w:spacing w:after="0"/>
              <w:rPr>
                <w:sz w:val="1"/>
                <w:szCs w:val="1"/>
                <w:color w:val="auto"/>
              </w:rPr>
            </w:pPr>
          </w:p>
        </w:tc>
      </w:tr>
      <w:tr>
        <w:trPr>
          <w:trHeight w:val="135"/>
        </w:trPr>
        <w:tc>
          <w:tcPr>
            <w:tcW w:w="3740" w:type="dxa"/>
            <w:vAlign w:val="bottom"/>
            <w:gridSpan w:val="2"/>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580" w:type="dxa"/>
            <w:vAlign w:val="bottom"/>
            <w:gridSpan w:val="3"/>
          </w:tcPr>
          <w:p>
            <w:pPr>
              <w:ind w:left="500"/>
              <w:spacing w:after="0" w:line="138" w:lineRule="exact"/>
              <w:rPr>
                <w:sz w:val="20"/>
                <w:szCs w:val="20"/>
                <w:color w:val="auto"/>
              </w:rPr>
            </w:pPr>
            <w:r>
              <w:rPr>
                <w:rFonts w:ascii="Times New Roman" w:cs="Times New Roman" w:eastAsia="Times New Roman" w:hAnsi="Times New Roman"/>
                <w:sz w:val="12"/>
                <w:szCs w:val="12"/>
                <w:color w:val="auto"/>
                <w:w w:val="99"/>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9"/>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92"/>
              </w:rPr>
              <w:t>NO</w:t>
            </w:r>
          </w:p>
        </w:tc>
        <w:tc>
          <w:tcPr>
            <w:tcW w:w="4440" w:type="dxa"/>
            <w:vAlign w:val="bottom"/>
            <w:gridSpan w:val="2"/>
          </w:tcPr>
          <w:p>
            <w:pPr>
              <w:ind w:left="4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96"/>
        </w:trPr>
        <w:tc>
          <w:tcPr>
            <w:tcW w:w="6580" w:type="dxa"/>
            <w:vAlign w:val="bottom"/>
            <w:gridSpan w:val="3"/>
          </w:tcPr>
          <w:p>
            <w:pPr>
              <w:ind w:left="500"/>
              <w:spacing w:after="0"/>
              <w:rPr>
                <w:sz w:val="20"/>
                <w:szCs w:val="20"/>
                <w:color w:val="auto"/>
              </w:rPr>
            </w:pPr>
            <w:r>
              <w:rPr>
                <w:rFonts w:ascii="Times New Roman" w:cs="Times New Roman" w:eastAsia="Times New Roman" w:hAnsi="Times New Roman"/>
                <w:sz w:val="12"/>
                <w:szCs w:val="12"/>
                <w:color w:val="auto"/>
                <w:w w:val="98"/>
              </w:rPr>
              <w:t>Indicate by check mark if the registrant is not required to file reports pursuant to Section 13 or 15(d) of the Exchange Act.  YES</w:t>
            </w:r>
          </w:p>
        </w:tc>
        <w:tc>
          <w:tcPr>
            <w:tcW w:w="220" w:type="dxa"/>
            <w:vAlign w:val="bottom"/>
          </w:tcPr>
          <w:p>
            <w:pPr>
              <w:ind w:left="20"/>
              <w:spacing w:after="0" w:line="121" w:lineRule="exact"/>
              <w:rPr>
                <w:sz w:val="20"/>
                <w:szCs w:val="20"/>
                <w:color w:val="auto"/>
              </w:rPr>
            </w:pPr>
            <w:r>
              <w:rPr>
                <w:rFonts w:ascii="MS PGothic" w:cs="MS PGothic" w:eastAsia="MS PGothic" w:hAnsi="MS PGothic"/>
                <w:sz w:val="12"/>
                <w:szCs w:val="12"/>
                <w:color w:val="auto"/>
              </w:rPr>
              <w:t>☐</w:t>
            </w:r>
          </w:p>
        </w:tc>
        <w:tc>
          <w:tcPr>
            <w:tcW w:w="44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jc w:val="both"/>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jc w:val="both"/>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jc w:val="both"/>
        <w:ind w:right="20" w:firstLine="494"/>
        <w:spacing w:after="0" w:line="241"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196"/>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4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480" w:type="dxa"/>
            <w:vAlign w:val="bottom"/>
          </w:tcPr>
          <w:p>
            <w:pPr>
              <w:ind w:left="52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70"/>
        </w:trPr>
        <w:tc>
          <w:tcPr>
            <w:tcW w:w="15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4980" w:type="dxa"/>
            <w:vAlign w:val="bottom"/>
          </w:tcPr>
          <w:p>
            <w:pPr>
              <w:ind w:left="2840"/>
              <w:spacing w:after="0"/>
              <w:rPr>
                <w:sz w:val="20"/>
                <w:szCs w:val="20"/>
                <w:color w:val="auto"/>
              </w:rPr>
            </w:pPr>
            <w:r>
              <w:rPr>
                <w:rFonts w:ascii="Times New Roman" w:cs="Times New Roman" w:eastAsia="Times New Roman" w:hAnsi="Times New Roman"/>
                <w:sz w:val="12"/>
                <w:szCs w:val="12"/>
                <w:color w:val="auto"/>
              </w:rPr>
              <w:t>Emerging growth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40"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firstLine="494"/>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6" w:lineRule="exact"/>
        <w:rPr>
          <w:sz w:val="24"/>
          <w:szCs w:val="24"/>
          <w:color w:val="auto"/>
        </w:rPr>
      </w:pPr>
    </w:p>
    <w:p>
      <w:pPr>
        <w:ind w:firstLine="494"/>
        <w:spacing w:after="0" w:line="15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6" w:lineRule="exact"/>
        <w:rPr>
          <w:sz w:val="24"/>
          <w:szCs w:val="24"/>
          <w:color w:val="auto"/>
        </w:rPr>
      </w:pPr>
    </w:p>
    <w:p>
      <w:pPr>
        <w:ind w:firstLine="494"/>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500"/>
        <w:spacing w:after="0" w:line="138" w:lineRule="exact"/>
        <w:tabs>
          <w:tab w:leader="none" w:pos="5420" w:val="left"/>
          <w:tab w:leader="none" w:pos="59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30" w:lineRule="exact"/>
        <w:rPr>
          <w:sz w:val="24"/>
          <w:szCs w:val="24"/>
          <w:color w:val="auto"/>
        </w:rPr>
      </w:pPr>
    </w:p>
    <w:p>
      <w:pPr>
        <w:ind w:firstLine="494"/>
        <w:spacing w:after="0" w:line="255" w:lineRule="auto"/>
        <w:rPr>
          <w:sz w:val="20"/>
          <w:szCs w:val="20"/>
          <w:color w:val="auto"/>
        </w:rPr>
      </w:pPr>
      <w:r>
        <w:rPr>
          <w:rFonts w:ascii="Times New Roman" w:cs="Times New Roman" w:eastAsia="Times New Roman" w:hAnsi="Times New Roman"/>
          <w:sz w:val="12"/>
          <w:szCs w:val="12"/>
          <w:color w:val="auto"/>
        </w:rPr>
        <w:t>The aggregate market value (based on the closing price of the registrant’s common stock quoted on the Nasdaq Stock Market) of the registrant’s common stock owned by non-affiliates, as of August 2, 2024, the last business day of the registrant’s most recently completed second fiscal quarter, was approximately $219.3 million.</w:t>
      </w:r>
    </w:p>
    <w:p>
      <w:pPr>
        <w:spacing w:after="0" w:line="15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2"/>
          <w:szCs w:val="12"/>
          <w:color w:val="auto"/>
        </w:rPr>
        <w:t>As of March 24, 2025, the registrant had 30,881,427 shares of common stock, $0.01 par value, outstanding.</w:t>
      </w:r>
    </w:p>
    <w:p>
      <w:pPr>
        <w:spacing w:after="0" w:line="149"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50" w:lineRule="exact"/>
        <w:rPr>
          <w:sz w:val="24"/>
          <w:szCs w:val="24"/>
          <w:color w:val="auto"/>
        </w:rPr>
      </w:pPr>
    </w:p>
    <w:p>
      <w:pPr>
        <w:ind w:firstLine="499"/>
        <w:spacing w:after="0" w:line="255" w:lineRule="auto"/>
        <w:rPr>
          <w:sz w:val="20"/>
          <w:szCs w:val="20"/>
          <w:color w:val="auto"/>
        </w:rPr>
      </w:pPr>
      <w:r>
        <w:rPr>
          <w:rFonts w:ascii="Times New Roman" w:cs="Times New Roman" w:eastAsia="Times New Roman" w:hAnsi="Times New Roman"/>
          <w:sz w:val="12"/>
          <w:szCs w:val="12"/>
          <w:color w:val="auto"/>
        </w:rPr>
        <w:t>Portions of the registrant’s Proxy Statement relating to the registrant’s 2025 Annual Meeting of Stockholders (the “Proxy Statement”), to be held on May 21, 2025, are incorporated by reference into Part III of this Annual Report on Form 10-K where indicated. The Proxy Statement will be filed with the U.S. Securities and Exchange Commission within 120 days after the end of the fiscal year to which this report relates.</w:t>
      </w:r>
    </w:p>
    <w:p>
      <w:pPr>
        <w:spacing w:after="0" w:line="112" w:lineRule="exact"/>
        <w:rPr>
          <w:sz w:val="24"/>
          <w:szCs w:val="24"/>
          <w:color w:val="auto"/>
        </w:rPr>
      </w:pPr>
    </w:p>
    <w:p>
      <w:pPr>
        <w:ind w:left="100"/>
        <w:spacing w:after="0"/>
        <w:tabs>
          <w:tab w:leader="none" w:pos="1700" w:val="left"/>
          <w:tab w:leader="none" w:pos="3340" w:val="left"/>
          <w:tab w:leader="none" w:pos="4860" w:val="left"/>
          <w:tab w:leader="none" w:pos="6980" w:val="left"/>
          <w:tab w:leader="none" w:pos="8560" w:val="left"/>
        </w:tabs>
        <w:rPr>
          <w:sz w:val="20"/>
          <w:szCs w:val="20"/>
          <w:color w:val="auto"/>
        </w:rPr>
      </w:pPr>
      <w:r>
        <w:rPr>
          <w:rFonts w:ascii="Times New Roman" w:cs="Times New Roman" w:eastAsia="Times New Roman" w:hAnsi="Times New Roman"/>
          <w:sz w:val="12"/>
          <w:szCs w:val="12"/>
          <w:color w:val="auto"/>
        </w:rPr>
        <w:t>Auditor Firm Id:</w:t>
      </w:r>
      <w:r>
        <w:rPr>
          <w:sz w:val="20"/>
          <w:szCs w:val="20"/>
          <w:color w:val="auto"/>
        </w:rPr>
        <w:tab/>
      </w: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2"/>
          <w:szCs w:val="12"/>
          <w:color w:val="auto"/>
        </w:rPr>
        <w:t>Auditor Name:</w:t>
      </w:r>
      <w:r>
        <w:rPr>
          <w:sz w:val="20"/>
          <w:szCs w:val="20"/>
          <w:color w:val="auto"/>
        </w:rPr>
        <w:tab/>
      </w:r>
      <w:r>
        <w:rPr>
          <w:rFonts w:ascii="Times New Roman" w:cs="Times New Roman" w:eastAsia="Times New Roman" w:hAnsi="Times New Roman"/>
          <w:sz w:val="12"/>
          <w:szCs w:val="12"/>
          <w:color w:val="auto"/>
        </w:rPr>
        <w:t>Deloitte &amp; Touche LLP</w:t>
      </w:r>
      <w:r>
        <w:rPr>
          <w:sz w:val="20"/>
          <w:szCs w:val="20"/>
          <w:color w:val="auto"/>
        </w:rPr>
        <w:tab/>
      </w:r>
      <w:r>
        <w:rPr>
          <w:rFonts w:ascii="Times New Roman" w:cs="Times New Roman" w:eastAsia="Times New Roman" w:hAnsi="Times New Roman"/>
          <w:sz w:val="12"/>
          <w:szCs w:val="12"/>
          <w:color w:val="auto"/>
        </w:rPr>
        <w:t>Auditor Location:</w:t>
      </w:r>
      <w:r>
        <w:rPr>
          <w:sz w:val="20"/>
          <w:szCs w:val="20"/>
          <w:color w:val="auto"/>
        </w:rPr>
        <w:tab/>
      </w:r>
      <w:r>
        <w:rPr>
          <w:rFonts w:ascii="Times New Roman" w:cs="Times New Roman" w:eastAsia="Times New Roman" w:hAnsi="Times New Roman"/>
          <w:sz w:val="11"/>
          <w:szCs w:val="11"/>
          <w:color w:val="auto"/>
        </w:rPr>
        <w:t>Chicago, IL,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40" w:type="dxa"/>
            <w:vAlign w:val="bottom"/>
            <w:gridSpan w:val="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LANDS’ END, INC.</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10"/>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INDEX TO ANNUAL REPORT ON FORM 10-K</w:t>
            </w: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40" w:type="dxa"/>
            <w:vAlign w:val="bottom"/>
            <w:gridSpan w:val="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7"/>
        </w:trPr>
        <w:tc>
          <w:tcPr>
            <w:tcW w:w="106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5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06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06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06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r>
      <w:tr>
        <w:trPr>
          <w:trHeight w:val="277"/>
        </w:trPr>
        <w:tc>
          <w:tcPr>
            <w:tcW w:w="1060" w:type="dxa"/>
            <w:vAlign w:val="bottom"/>
          </w:tcPr>
          <w:p>
            <w:pPr>
              <w:spacing w:after="0"/>
              <w:rPr>
                <w:sz w:val="24"/>
                <w:szCs w:val="24"/>
                <w:color w:val="auto"/>
              </w:rPr>
            </w:pP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885"/>
        </w:trPr>
        <w:tc>
          <w:tcPr>
            <w:tcW w:w="10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4120" w:type="dxa"/>
            <w:vAlign w:val="bottom"/>
            <w:gridSpan w:val="13"/>
          </w:tcPr>
          <w:p>
            <w:pPr>
              <w:jc w:val="center"/>
              <w:ind w:left="3390"/>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jc w:val="both"/>
        <w:ind w:firstLine="499"/>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 Other terms commonly used in this Annual Report on Form 10-K are defined as follows:</w:t>
      </w:r>
    </w:p>
    <w:p>
      <w:pPr>
        <w:spacing w:after="0" w:line="65" w:lineRule="exact"/>
        <w:rPr>
          <w:sz w:val="20"/>
          <w:szCs w:val="20"/>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agreements, providing for a revolving facility, dated as of November 16, 2017, with Wells Fargo,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income/(loss) appearing on the Consolidated Statements of Operations net of Income tax expense/(benefit), Interest expense, Depreciation and amortization and other significant items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net income (loss) – Net income (loss) appearing on the Consolidated Statements of Operations excluding significant non-recurring or non-operational items. Adjusted net income (loss) is also presented on a diluted per share basis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Term Loan Facility – Term loan credit agreement, dated as of December 29, 2023, among the Company, Blue Torch Capital,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Current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2024 – The 13 weeks ended May 3,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ended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Former Term Loan Facility – Term loan credit agreement, dated as of September 9, 2020, among the Company, Fortress Credit Corp.,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2024 – The 13 weeks ended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GMV – Gross merchandise value equals total order value of all Lands’ End branded merchandise sold to customers through business-to-consumer and business-to-business channels, as well as the retail value of the merchandise sold through third party distribution channels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LIBOR – London inter-bank offered rate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Quarter 2024 – The 13 weeks ended August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3"/>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2023 – The 13 weeks ended October 27, 2023</w:t>
      </w:r>
    </w:p>
    <w:p>
      <w:pPr>
        <w:spacing w:after="0" w:line="119"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our own Company Operated stores and third-party license agreements. We also offer products to businesses and schools, for their employees and students, through the Outfitters distribution channel. Lands’ End is a classic American lifestyle brand that creates solutions for life’s every journey.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 xml:space="preserve">The Company identifies our operating segments according to how business activities are managed and evaluated. Following internal organizational changes and realignment of distribution channel responsibilities in Fourth Quarter 2024, the Company’s operating segments consisted of: U.S. eCommerce, Europe eCommerce, Outfitters, Third Party, Licensing and Retail. Beginning Fourth Quarter 2024, the Wholesale business is included in Licensing and prior periods were recast to reflect the change in operating segments for comparability purposes. The Company has determined that the U.S. eCommerce, Outfitters and Third Party operating segments share similar economic and other qualitative characteristics, and therefore, the results of these operating segments are aggregated into one external reportable segment, the U.S. Digital segment. The Europe eCommerce, Licensing and Retail operating segments are not quantitatively significant to be separately reported.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Lands’ End identifies six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Lands’ End trademark and any fulfillment fees for fulfillment services provided by the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2024, Gross Merchandise Value (“GMV”) increased low-single digits and we generated Net revenue of approximately $1.36 billion. Net revenue was generated worldwide with operations based in the United States, United Kingdom, and Germany. This network reinforces and supports sales across the distribution channels in which we do business.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Fiscal 2022</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U.S. eCommerce</w:t>
            </w: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842,751</w:t>
            </w:r>
          </w:p>
        </w:tc>
        <w:tc>
          <w:tcPr>
            <w:tcW w:w="8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930,314</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63.2%</w:t>
            </w:r>
          </w:p>
        </w:tc>
        <w:tc>
          <w:tcPr>
            <w:tcW w:w="1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955,752</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61.4%</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17.1%</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6.3%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5.7%</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U.S. Digital Segment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1,308,810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 eCommerce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10.7%</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Licensing and Retail</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5.1%</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1,555,429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Fiscal 2024, we fulfilled orders to customers in approximately 130 countries outside the United States, totaling approximately 9%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by the geographical location where the product is shipped is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2022</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1,245,240</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1,342,366</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91.2%</w:t>
            </w:r>
          </w:p>
        </w:tc>
        <w:tc>
          <w:tcPr>
            <w:tcW w:w="1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1,368,518</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88.0%</w:t>
            </w:r>
          </w:p>
        </w:tc>
      </w:tr>
      <w:tr>
        <w:trPr>
          <w:trHeight w:val="189"/>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10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105,000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114,778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135,878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8.7%</w:t>
            </w:r>
          </w:p>
        </w:tc>
      </w:tr>
      <w:tr>
        <w:trPr>
          <w:trHeight w:val="230"/>
        </w:trPr>
        <w:tc>
          <w:tcPr>
            <w:tcW w:w="24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12,695</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15,364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51,033</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1,362,935</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1,472,508</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Fiscal 2022 includes Net revenue of $32.7 million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by geographical location, which includes Property and equipment, net, are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182"/>
        </w:trPr>
        <w:tc>
          <w:tcPr>
            <w:tcW w:w="46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109,609</w:t>
            </w:r>
          </w:p>
        </w:tc>
        <w:tc>
          <w:tcPr>
            <w:tcW w:w="260" w:type="dxa"/>
            <w:vAlign w:val="bottom"/>
          </w:tcPr>
          <w:p>
            <w:pPr>
              <w:spacing w:after="0"/>
              <w:rPr>
                <w:sz w:val="15"/>
                <w:szCs w:val="15"/>
                <w:color w:val="auto"/>
              </w:rPr>
            </w:pPr>
          </w:p>
        </w:tc>
        <w:tc>
          <w:tcPr>
            <w:tcW w:w="34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111,254</w:t>
            </w: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6,588</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115,618</w:t>
            </w:r>
          </w:p>
        </w:tc>
        <w:tc>
          <w:tcPr>
            <w:tcW w:w="26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118,033</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We continue to leverage our iconic American brand, which was founded on the principles of delivering great quality, uncompromising service and exceptional value to our customers. We strive to be the innovative, solutions brand for life’s every journey. We operate both in the B2C channels, with our customer-centric, digitally enabled retail business in the U.S. and internationally; and in the B2B market, with our industry leading uniform solutions for schools and businesses. Additionally, we are executing a licensing strategy, designed to grow the reach of our brand beyond the categories and channels that are our historical and core competencies. In exchange for royalty payments on net sales, licensees are granted the right to manufacture, market and sell product to consumers utilizing the Company’s channels and third-party channels. In line with this asset-light strategy, we plan to continue to explore additional licensing relationships for new and existing product categories, channels and geographies.</w:t>
      </w:r>
    </w:p>
    <w:p>
      <w:pPr>
        <w:spacing w:after="0" w:line="81" w:lineRule="exact"/>
        <w:rPr>
          <w:sz w:val="20"/>
          <w:szCs w:val="20"/>
          <w:color w:val="auto"/>
        </w:rPr>
      </w:pPr>
    </w:p>
    <w:p>
      <w:pPr>
        <w:jc w:val="both"/>
        <w:ind w:right="20" w:firstLine="556"/>
        <w:spacing w:after="0" w:line="282" w:lineRule="auto"/>
        <w:rPr>
          <w:sz w:val="20"/>
          <w:szCs w:val="20"/>
          <w:color w:val="auto"/>
        </w:rPr>
      </w:pPr>
      <w:r>
        <w:rPr>
          <w:rFonts w:ascii="Times New Roman" w:cs="Times New Roman" w:eastAsia="Times New Roman" w:hAnsi="Times New Roman"/>
          <w:sz w:val="18"/>
          <w:szCs w:val="18"/>
          <w:color w:val="auto"/>
        </w:rPr>
        <w:t>In Fiscal 2025, we will continue to focus on building our brand, growing our reach and customer base and increasing our margins, through our commitment to our core principles and our approach.</w:t>
      </w:r>
    </w:p>
    <w:p>
      <w:pPr>
        <w:spacing w:after="0" w:line="50"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First. </w:t>
      </w:r>
      <w:r>
        <w:rPr>
          <w:rFonts w:ascii="Times New Roman" w:cs="Times New Roman" w:eastAsia="Times New Roman" w:hAnsi="Times New Roman"/>
          <w:sz w:val="18"/>
          <w:szCs w:val="18"/>
          <w:color w:val="auto"/>
        </w:rPr>
        <w:t>At Lands’ End, we are customer obsessed and strive to bring our customer what they want, when they want it and where they want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regardless of the product category or means they use to shop our brand. We are focused on further penetrating our existing customer base and seek to build their loyalty through cross-category shopping, as well as introducing new customers to our brand. Additionally, we are focused on creating more personal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compelling journeys geared toward our targeted key customer cohorts to drive higher quality sales with more productive inventories. We strive to operate with lower inventory levels and speed to market, to provide flexibility to refresh our assortment with new styles and fabrics on an ongoing basis.</w:t>
      </w:r>
    </w:p>
    <w:p>
      <w:pPr>
        <w:spacing w:after="0" w:line="50" w:lineRule="exact"/>
        <w:rPr>
          <w:sz w:val="20"/>
          <w:szCs w:val="20"/>
          <w:color w:val="auto"/>
        </w:rPr>
      </w:pPr>
    </w:p>
    <w:p>
      <w:pPr>
        <w:jc w:val="both"/>
        <w:ind w:firstLine="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Solutions Orientation. </w:t>
      </w:r>
      <w:r>
        <w:rPr>
          <w:rFonts w:ascii="Times New Roman" w:cs="Times New Roman" w:eastAsia="Times New Roman" w:hAnsi="Times New Roman"/>
          <w:sz w:val="18"/>
          <w:szCs w:val="18"/>
          <w:color w:val="auto"/>
        </w:rPr>
        <w:t>We plan to continue our solutions-focused merchandising strategy which drove higher quality sales resulting in enhanced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margins in Fiscal 2024 across key items, categories and franchises including swimwear, outerwear, bottoms, and school and business uniforms.</w:t>
      </w:r>
    </w:p>
    <w:p>
      <w:pPr>
        <w:spacing w:after="0" w:line="47"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Innovation. </w:t>
      </w:r>
      <w:r>
        <w:rPr>
          <w:rFonts w:ascii="Times New Roman" w:cs="Times New Roman" w:eastAsia="Times New Roman" w:hAnsi="Times New Roman"/>
          <w:sz w:val="18"/>
          <w:szCs w:val="18"/>
          <w:color w:val="auto"/>
        </w:rPr>
        <w:t>Lands’ End has long been an innovator, epitomized as being an early adopter of eCommerce for apparel retail, through our embrace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analytics to better organize our business and service our customers. We strive to be innovative throughout our business to drive stronger results. We are focused on advancing our technologies, challenging ourselves to think and operate differently, embracing change, testing and learning, and applying our learning to best serve evolving customer needs. We maintain a leading digital presence in both our B2C and B2B digital markets. With over 90% of our business being done online, we seek to leverage data and analytics to drive personalization and higher quality sales with improved gross margins and increased gross profit. Digital operations is a core competency and our conversion rate is consistently greater than apparel industry norms.</w:t>
      </w:r>
    </w:p>
    <w:p>
      <w:pPr>
        <w:spacing w:after="0" w:line="74" w:lineRule="exact"/>
        <w:rPr>
          <w:sz w:val="20"/>
          <w:szCs w:val="20"/>
          <w:color w:val="auto"/>
        </w:rPr>
      </w:pPr>
    </w:p>
    <w:p>
      <w:pPr>
        <w:jc w:val="both"/>
        <w:ind w:firstLine="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Stakeholder Responsibility. </w:t>
      </w:r>
      <w:r>
        <w:rPr>
          <w:rFonts w:ascii="Times New Roman" w:cs="Times New Roman" w:eastAsia="Times New Roman" w:hAnsi="Times New Roman"/>
          <w:sz w:val="18"/>
          <w:szCs w:val="18"/>
          <w:color w:val="auto"/>
        </w:rPr>
        <w:t>Lands’ End is committed to serving all of our stakeholders – our customers, our shareholders, our hard working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dedicated employees and the supportive communities in which we operate – with a commitment to a high level of integrity, trust and respect as we build and maintain those relationships. Our goal is to drive deep and meaningful engagement with all stakeholders to achieve our collective goals.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were founded in 1963, incorporated in Delaware in 1986, and our common stock was listed on the New York Stock Exchange from 1986 to 2002. On June 17, 2002, we became a wholly-owned subsidiary of Sears Roebuck and Co., a wholly-owned subsidiary of Sears Holdings Corporation and its consolidated subsidiaries (“Sears Holdings”). On April 4, 2014, Sears Holdings distributed 100 percent of the outstanding common stock of Lands’ End to its stockholders and our common stock was listed on the Nasdaq Stock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operate primarily in the apparel industry which is highly competitive. We compete with a diverse group of direct-to-consumer companies and retailers, including national department store chains, women’s and men’s specialty apparel chains, outdoor specialty stores, apparel catalog businesses, sportswear marketers and online apparel businesses that sell similar lines of merchandise. We find our competitive edge by providing solutions for our customers’ needs through merchandise value (quality and price), product attributes and innovation, our established customer file and award-winning customer service.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We experience seasonal fluctuations in our net revenue and operating results and historically have realized a significant portion of our yearly net revenue and earnings during our fourth fiscal quarter. We generated approximately 34.0% of our yearly net revenue in the fourth quarters of Fiscal 2024, Fiscal 2023 and Fiscal 2022. Lower than expected fourth quarter net revenue could have an adverse impact on our annual operating results.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Lands’ End owns or has rights to use certain word and design trademarks, service marks, and trade names that are registered or exist under common law in the United States and other jurisdictions. The Lands’ End® trade name and trademark are used both in the United States and internationally and are material to our business. Our trademarks are also integral to the execution of our licensing strategy. Trademarks that we commonly use to identify and distinguish our products and services are Lands’ End Lighthouse®, Squall®, Tugless Tank®, Drifter™, Outrigger®, Marinac®, Wanderweight®, and Beach Living®, all of which are owned by us, as well as the licensed marks Supima®, No-Gape®, and others. Other recognized trademarks owned by Lands’ End include Anyweather™, Waveshaper™, Starfish™, Little Black Suit™, Iron Knees®, Hyde Park®, Year’Rounder®, ClassMate®, Willis &amp; Geiger® and ThermaCheck®. Lands’ End’s rights to some of these trademarks are limited to select markets. Lands’ End has a patent pending for targeted control swimwear and a provisional patent for swimwear with a removable wire feature.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Merchandising</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seek to develop new, innovative products that provide solutions for our customers’ needs by utilizing modern fabrics and quality construction to create timeless, affordable styles with excellent fit. We also seek to present our products in an engaging and inspiring way. We devote significant time and resources to quality assurance, fit testing and product compliance.</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product teams seek to determine optimal inventory levels that align with merchandising and marketing plans and initiatives. The product team also supports efforts to optimize product margin through active management of in-season promotions and post-season clearance activities. In addition, the product teams partner with our global sourcing team through long range planning efforts designed to better manage global supply chain costs.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Consistent with our merchandising strategy, we make inventory investments intended to support the growth of key products. In addition, we strive to improve assortment efficiency to increase seasonal sell through. We continue to leverage technology solutions to assist us in these strategic initiatives.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Vendors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products are produced globally by independent manufacturers who are selected, monitored and coordinated by our sourcing team and external sourcing experts. In Fiscal 2024, the top five countries where our vendors are located accounted for approximately 65% of our merchandise purchases in dollars. Our products are manufactured in approximately 20 countries and the majority are imported from Asia.</w:t>
      </w:r>
    </w:p>
    <w:p>
      <w:pPr>
        <w:spacing w:after="0" w:line="68"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In Fiscal 2024, our top 10 vendors accounted for approximately 63% of our merchandise purchases in dollars and we worked with approximately 100 vendors that manufactured substantially all of our products. We generally do not enter into long-term merchandise supply contracts. We continue to take advantage of opportunities to more efficiently source our products worldwide, consistent with our high standards of quality and value. Significant areas of non-product spend include logistics, information systems, marketing, packaging and catalog paper and print. We use third-party shipping companies to transport the product to our facilities. We face risks associated with relying on imported products, including manufacturing disruptions, port congestion, transportation delays, and heightened security measures, which have impacted—and could continue to impact—timely deliveries to our points of distribution.</w:t>
      </w:r>
    </w:p>
    <w:p>
      <w:pPr>
        <w:spacing w:after="0" w:line="8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It is important to us that our partners share the same core values as we do. Therefore, we require that all vendors comply with applicable legal requirements, agree to our global compliance requirements and meet our product quality standards. Our vendors are required to provide us with full access to their facilities and to relevant records relating to their employment practices, such as, but not limited to, child labor, wages and benefits, forced labor, discrimination, freedom of association, unlawful inducements, safe and healthy working conditions and other business practices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that we may monitor their compliance with ethical and legal requirements relating to the conduct of their business. See also Item 1A</w:t>
      </w:r>
      <w:r>
        <w:rPr>
          <w:rFonts w:ascii="Times New Roman" w:cs="Times New Roman" w:eastAsia="Times New Roman" w:hAnsi="Times New Roman"/>
          <w:sz w:val="18"/>
          <w:szCs w:val="18"/>
          <w:i w:val="1"/>
          <w:iCs w:val="1"/>
          <w:color w:val="auto"/>
        </w:rPr>
        <w:t>, Risk Factors,</w:t>
      </w:r>
      <w:r>
        <w:rPr>
          <w:rFonts w:ascii="Times New Roman" w:cs="Times New Roman" w:eastAsia="Times New Roman" w:hAnsi="Times New Roman"/>
          <w:sz w:val="18"/>
          <w:szCs w:val="18"/>
          <w:color w:val="auto"/>
        </w:rPr>
        <w:t xml:space="preserve"> in this Annual Report on Form 10-K.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Citizenship</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Lands’ End is working towards improving its sustainable footprint through key practices like waste reduction, purchasing recycled consumables and corporate partnerships. Lands’ End hopes to inspire customers and other corporations to increase sustainability awareness and initiatives.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a focus on raising awareness and educating our employees on reducing our internal use of consumables and natural resources. In addition, we have a broad range of recycling and waste management initiatives at our corporate office and distribution centers. We also focus on efficient water and energy management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that our most important asset is our brand. Lands’ End is well-recognized and has a deeply rooted tradition of excellent quality, value and service. Lands’ End is an iconic American brand with a large and loyal customer base.</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invest significantly in brand development through our focus on providing excellent customer service, emphasis on digital and innovative product development. We believe that this commitment to our brand has helped to generate our large and loyal customer base for over sixty years.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We attempt to build on our brand recognition through multi-channel marketing campaigns including through our eCommerce website,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catalog distribution, digital marketing and social media. Creative designs for these marketing platforms are developed in-house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creative team with supplemental work by external agencies on a project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are committed to building on Lands’ End’s legacy of strong customer service. We believe we have a strong track record of improving the customer service experience through innovation. Lands’ End is focused on using our extensive customer data to make the shopping experience as convenient and personalized as possible. Customer service agents are available on the phone, via chat, email, text and social media, and we maintain a digital self-service platform. These all have contributed to our award-winning customer service, which we believe is one of our core strengths and a key point of differentiation from our competitors.</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have received many accolades over the years and Lands’ End was recognized in the Newsweek list of America’s Best Customer Service in 2024, 2023, 2022 and 2021, for best customer service in the Online Retailers: Clothing in the Apparel category.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and operate three distribution centers in Wisconsin. Our Dodgeville facility is approximately 1.3 million square feet, our Reedsburg facility is approximately 550,000 square feet and our Stevens Point facility is approximately 150,000 square feet. Our customer orders are shipped via third-party carriers.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own and operate a distribution center in the United Kingdom based in Oakham, a community north of London. Our Oakham facility is approximately 185,000 square feet.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Lands’ End employs a variety of third-party and internally-developed systems to enhance our customer experience and support efficient, cost-effective operations. In support of our business strategies, we implement new solutions and upgrade existing ones to offer, sell and fulfill our products through Lands’ End distribution channels. See also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Philosophy and Approach</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Since our founding in 1963, Lands’ End has recognized that our people are a critical asset. People, the individuals we employ, the customers we serve, and their families, are the heart of our company. We are committed to creating an inspiring culture that is welcoming for all who work and shop with us. Our founder, Gary Comer set the foundation with this quote: “The really important thing that makes Lands’ End what it has become is people. You, me, everyone around us. It is what we do as people that makes this a great place to come to work.”</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employ approximately 4,400 employees: approximately 4,100 employees in the United States and approximately 300 employees outside the United States. The U.S. workforce consists of approximately 48% part-time employees, 33% full-time hourly employees and 18% full-time salaried employees. With the seasonal nature of the fourth quarter holiday shopping season in the retail industry, approximately 1,500 additional, flexible, part-time employees are hired in the U.S. to support our customer service and distribution centers.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Recruitment and Retention</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Lands’ End leverages a multifaceted recruitment approach to source and hire top talent aligned with our corporate priorities. We maintain a strong digital presence to represent our brand and proactively target talent, in addition to a meaningful employee referral bonus program. Annually, we have performance reviews for all employees and talent reviews, focused on director level and above positions, to evaluate and align on high potential talent with development actions that prepare employees for internal promotion and career growth opportunities, including succession planning for key leadership positions.</w:t>
      </w:r>
    </w:p>
    <w:p>
      <w:pPr>
        <w:spacing w:after="0" w:line="75" w:lineRule="exact"/>
        <w:rPr>
          <w:sz w:val="20"/>
          <w:szCs w:val="20"/>
          <w:color w:val="auto"/>
        </w:rPr>
      </w:pPr>
    </w:p>
    <w:p>
      <w:pPr>
        <w:jc w:val="both"/>
        <w:ind w:firstLine="544"/>
        <w:spacing w:after="0" w:line="282" w:lineRule="auto"/>
        <w:rPr>
          <w:sz w:val="20"/>
          <w:szCs w:val="20"/>
          <w:color w:val="auto"/>
        </w:rPr>
      </w:pPr>
      <w:r>
        <w:rPr>
          <w:rFonts w:ascii="Times New Roman" w:cs="Times New Roman" w:eastAsia="Times New Roman" w:hAnsi="Times New Roman"/>
          <w:sz w:val="18"/>
          <w:szCs w:val="18"/>
          <w:color w:val="auto"/>
        </w:rPr>
        <w:t>Our efforts to retain talent and maintain strong employee engagement have been very effective, as evidenced by approximately 47% of our full-time U.S. employee base having a tenure of 10 years or more.</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Turnover within our workforce is closely monitored to alert management of potential issues aside from our normal and desired turnover. Our three-year average U.S. salaried turnover rate is approximately 10%, and the turnover rate for our U.S. hourly full-time staff is approximately 7%. We maintain a strong focus on employee retention by providing meaningful work aligned with business goals, strong and supportive leadership, and opportunities for growth and development.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we strive to be a great place to work, we continue to focus on key initiatives to educate and support our employees’ personal and professional development. We continually benchmark and evolve our benefits to provide offerings that are competitive in the industry and look to provide support to our employees in each aspect of the employee journey.</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maintain Business Resource Groups (“BRGs”) to provide support for our employees. The BRGs are open to all employees, are employee-led and consist of individuals with common interests, backgrounds or demographic factors. It is our belief that encouraging and supporting BRGs contributes to making Lands’ End collaborative, welcoming, and successful.</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are committed to fostering an environment where contributions are recognized, valued, and rewarded. Our Total Rewards Philosophy is rooted in the fundamental principle that our employees are the driving force behind our success, and we are committed to offering a competitive rewards program that includes compensation, benefits, and opportunities. We align our total rewards programs, core values, and strategic business objectives to attract, retain, and engage top talent, while fostering a culture of collaboration, growth, and excellence.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in upholding pay equity and fairness and are committed to providing equal pay for equal work, ensuring that compensation decisions are based on objective criteria such as skills, experience, and performance.</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to paying competitive salaries and wages, Lands’ End has various compensation awards and programs in place for all employees based on their position, such as annual incentive plans, long-term (cash and/or equity) incentive awards, sales incentive plans, peak incentives, and discretionary bonuses based on Company performance.</w:t>
      </w:r>
    </w:p>
    <w:p>
      <w:pPr>
        <w:spacing w:after="0" w:line="68" w:lineRule="exact"/>
        <w:rPr>
          <w:sz w:val="20"/>
          <w:szCs w:val="20"/>
          <w:color w:val="auto"/>
        </w:rPr>
      </w:pPr>
    </w:p>
    <w:p>
      <w:pPr>
        <w:ind w:left="500" w:right="1180" w:firstLine="5"/>
        <w:spacing w:after="0" w:line="375" w:lineRule="auto"/>
        <w:rPr>
          <w:sz w:val="20"/>
          <w:szCs w:val="20"/>
          <w:color w:val="auto"/>
        </w:rPr>
      </w:pPr>
      <w:r>
        <w:rPr>
          <w:rFonts w:ascii="Times New Roman" w:cs="Times New Roman" w:eastAsia="Times New Roman" w:hAnsi="Times New Roman"/>
          <w:sz w:val="18"/>
          <w:szCs w:val="18"/>
          <w:color w:val="auto"/>
        </w:rPr>
        <w:t xml:space="preserve">We are committed to offering a variety of benefits that support the well-being and diverse needs of our employees and their families. </w:t>
      </w:r>
      <w:r>
        <w:rPr>
          <w:rFonts w:ascii="Times New Roman" w:cs="Times New Roman" w:eastAsia="Times New Roman" w:hAnsi="Times New Roman"/>
          <w:sz w:val="18"/>
          <w:szCs w:val="18"/>
          <w:b w:val="1"/>
          <w:bCs w:val="1"/>
          <w:i w:val="1"/>
          <w:iCs w:val="1"/>
          <w:color w:val="auto"/>
        </w:rPr>
        <w:t>Training and Development</w:t>
      </w:r>
    </w:p>
    <w:p>
      <w:pPr>
        <w:spacing w:after="0" w:line="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Lands’ End partners with employees to discover and develop their talents and abilities through various programs. Targeted development opportunities are available throughout the employee lifecycle, including internships, mentorship programs, workshops, self-paced learning and leader coaching. Senior management regularly reviews organizational talent to identify employees who possess the potential for advancement and to identify, recommend and address developmental needs. We provide development experiences for all levels of the organization and are committed to performance management, offering annual reviews, goal setting, and mentorship programs for employees. Formal coaching, 360 feedback, and executive leadership experiences are extended to our senior leaders for a personalized development experience.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executive offices are located at 5 Lands’ End Lane, Dodgeville, Wisconsin 53595. Our telephone number is (608) 935-9341.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Internet Address and Internet Access to Current and Periodic Reports and Other Information</w:t>
      </w:r>
    </w:p>
    <w:p>
      <w:pPr>
        <w:spacing w:after="0" w:line="119"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References to websites or website addresses do not constitute incorporation by reference of the information contained on the website, and such information is not part of this Annual Report on Form 10-K or any other filings with the SEC, unless otherwise explicitly stated. We file our Annual Report on Form 10-K, Quarterly Reports on Form 10-Q and Current Reports on Form 8-K, and all amendments to those reports, as well as proxy and information statements, electronically with the SEC, and they are available on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which contains reports, proxy and information statements, and other information regarding issuers that file electronically with the SEC. We also make our Annual Reports on Form 10-K, Quarterly Reports on Form 10-Q, current reports on Form 8-K and amendments to those reports available through the Investor Relations section of our website, free of charge, as soon as reasonably practicable after we file such material with, or furnish it to, the SEC.</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Our Corporate Governance Guidelines, the charters of the Audit Committee, the Compensation Committee and the Nominating and Corporate Governance Committee of the Board of Directors, our Related Party Transactions Policy, our Director Compensation Policy, our Code of Conduct, and our Board of Directors Code of Conduct are available at the “Corporate Governance” page in the “Investor Relations” section of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including their positions.</w:t>
      </w:r>
    </w:p>
    <w:p>
      <w:pPr>
        <w:spacing w:after="0" w:line="286"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8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2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50"/>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J. McLean</w:t>
            </w:r>
          </w:p>
        </w:tc>
        <w:tc>
          <w:tcPr>
            <w:tcW w:w="120" w:type="dxa"/>
            <w:vAlign w:val="bottom"/>
          </w:tcPr>
          <w:p>
            <w:pPr>
              <w:spacing w:after="0"/>
              <w:rPr>
                <w:sz w:val="21"/>
                <w:szCs w:val="21"/>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r>
      <w:tr>
        <w:trPr>
          <w:trHeight w:val="257"/>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Bernard McCracken</w:t>
            </w:r>
          </w:p>
        </w:tc>
        <w:tc>
          <w:tcPr>
            <w:tcW w:w="120" w:type="dxa"/>
            <w:vAlign w:val="bottom"/>
          </w:tcPr>
          <w:p>
            <w:pPr>
              <w:spacing w:after="0"/>
              <w:rPr>
                <w:sz w:val="22"/>
                <w:szCs w:val="22"/>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r>
      <w:tr>
        <w:trPr>
          <w:trHeight w:val="238"/>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L. Gray</w:t>
            </w:r>
          </w:p>
        </w:tc>
        <w:tc>
          <w:tcPr>
            <w:tcW w:w="12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Lands’ End Licensing, Chief Administrative Officer and</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Martin Christopher</w:t>
            </w:r>
          </w:p>
        </w:tc>
        <w:tc>
          <w:tcPr>
            <w:tcW w:w="120" w:type="dxa"/>
            <w:vAlign w:val="bottom"/>
          </w:tcPr>
          <w:p>
            <w:pPr>
              <w:spacing w:after="0"/>
              <w:rPr>
                <w:sz w:val="22"/>
                <w:szCs w:val="22"/>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Chief Technology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r>
      <w:tr>
        <w:trPr>
          <w:trHeight w:val="257"/>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Angela Rieger</w:t>
            </w:r>
          </w:p>
        </w:tc>
        <w:tc>
          <w:tcPr>
            <w:tcW w:w="120" w:type="dxa"/>
            <w:vAlign w:val="bottom"/>
          </w:tcPr>
          <w:p>
            <w:pPr>
              <w:spacing w:after="0"/>
              <w:rPr>
                <w:sz w:val="22"/>
                <w:szCs w:val="22"/>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Vice President, Chief Transformation Officer</w:t>
            </w: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57</w:t>
            </w:r>
          </w:p>
        </w:tc>
      </w:tr>
    </w:tbl>
    <w:p>
      <w:pPr>
        <w:spacing w:after="0" w:line="263"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Andrew J. McLean </w:t>
      </w:r>
      <w:r>
        <w:rPr>
          <w:rFonts w:ascii="Times New Roman" w:cs="Times New Roman" w:eastAsia="Times New Roman" w:hAnsi="Times New Roman"/>
          <w:sz w:val="18"/>
          <w:szCs w:val="18"/>
          <w:color w:val="auto"/>
        </w:rPr>
        <w:t>has served as the Chief Executive Officer of Lands’ End since January 28, 2023. He joined Lands’ End as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Officer-Designate 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 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is an active supporter of the University of Wisconsin School of Human Ecology, sponsoring projects on brand, marketing and product design and merchandising. Mr. McLean received his Bachelor’s degree in Engineering from the University of Manchester, a Master’s degree in Engineering Management from the University of Cambridge and an MBA from Harvard Business School. Mr. McLean brings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w:t>
      </w:r>
    </w:p>
    <w:p>
      <w:pPr>
        <w:spacing w:after="0" w:line="8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Bernard McCracken </w:t>
      </w:r>
      <w:r>
        <w:rPr>
          <w:rFonts w:ascii="Times New Roman" w:cs="Times New Roman" w:eastAsia="Times New Roman" w:hAnsi="Times New Roman"/>
          <w:sz w:val="18"/>
          <w:szCs w:val="18"/>
          <w:color w:val="auto"/>
        </w:rPr>
        <w:t>was appointed Chief Financial Officer of Lands’ End in September 2023 after serving as Interim Chief Financial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2023. Mr. McCracken served as the Vice President, Controller and Chief Accounting Officer of Lands’ End from April 2014 until his appointment as Chief Financial Officer. Mr. McCracken previously served as Vice President Corporate Controller/Business Transformation Officer, Senior Director of Special Projects and Senior Director of Accounting at The Children’s Place, Inc. Mr. McCracken also served in the roles of Vice President of Finance (divisional CFO), Meldisco Division, and Assistant Controller at Footstar, Inc. from 1998 to 2003. Mr. McCracken also served as a Consultant/Manager, Enterprise Risk Services-Retail Internal Audit Group at Deloitte &amp; Touche LLP from 1997 to 1998, served as Divisional Controller at The Leslie Fay Companies, Inc. from 1994 to 1997, and Assistant Controller at Loehmann’s Inc. from 1987 to 1994.</w:t>
      </w:r>
    </w:p>
    <w:p>
      <w:pPr>
        <w:spacing w:after="0" w:line="7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 L. Gray </w:t>
      </w:r>
      <w:r>
        <w:rPr>
          <w:rFonts w:ascii="Times New Roman" w:cs="Times New Roman" w:eastAsia="Times New Roman" w:hAnsi="Times New Roman"/>
          <w:sz w:val="18"/>
          <w:szCs w:val="18"/>
          <w:color w:val="auto"/>
        </w:rPr>
        <w:t>has served as President, Lands’ End Licensing, Chief Administrative Officer and General Counsel of Lands’ End since June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Chief Commercial Officer from January 2023 to June 2024. He joined Lands’ End as Executive Vice President, Chief Administrative Officer and General Counsel in May 2017. Mr. Gray served as Executive Vice President, General Counsel and Secretary of Tumi Holdings, Inc., a manufacturer and retailer of consumer goods including business bags, luggage, apparel and other travel-related goods, from December 2013 until November 2016. He was employed by ModusLink Global Solutions, Inc. (formerly CMGI, Inc.), a supply chain business process management company, from June 1999 to October 2013, most recently as Executive Vice President, Chief Administrative Officer and General Counsel. Earlier in his career, he was a junior partner at Hale and Dorr LLP. He also serves on the Board of Directors of the Tufts University Hillel Foundation.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Martin Christopher </w:t>
      </w:r>
      <w:r>
        <w:rPr>
          <w:rFonts w:ascii="Times New Roman" w:cs="Times New Roman" w:eastAsia="Times New Roman" w:hAnsi="Times New Roman"/>
          <w:sz w:val="18"/>
          <w:szCs w:val="18"/>
          <w:color w:val="auto"/>
        </w:rPr>
        <w:t>was appointed Executive Vice President, Chief Technology Officer of Lands’ End in February 2024 after serving as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Technology Officer since November 2023. He served in various capacities at CUNA Mutual Group Insurance and Financial (now TruStage) from December 2013 to May 2022, including as Chief Information Officer from April 2020 through May 2022, and provided management and technology consulting services from June 2022 until joining Lands’ End. He also served as Head of IT for Fiskars Americas and Gerber Blades from October 2010 to November 2013.</w:t>
      </w:r>
    </w:p>
    <w:p>
      <w:pPr>
        <w:spacing w:after="0" w:line="75"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Angela Rieger </w:t>
      </w:r>
      <w:r>
        <w:rPr>
          <w:rFonts w:ascii="Times New Roman" w:cs="Times New Roman" w:eastAsia="Times New Roman" w:hAnsi="Times New Roman"/>
          <w:sz w:val="18"/>
          <w:szCs w:val="18"/>
          <w:color w:val="auto"/>
        </w:rPr>
        <w:t>has served as Executive Vice President, Chief Transformation Officer of Lands’ End since January 2023. On October 2, 2024,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Rieger notified Lands’ End that she will be retiring from the Company effective April 15, 2025. She has served in several roles of increasing responsibility at Lands’ End, including Divisional President, Lands’ End Outfitters from August 2022 to January 2023, Senior Vice President, Wholesale and Head of Sourcing from July 2022 to August 2022, Senior Vice President, International and Wholesale from January 2020 to July 2022, Senior Vice President, International from July 2019 to January 2020, Senior Vice President, Planning and Head of International from March 2019 to July 2019, Senior Vice President, Planning and U.S. Direct from June 2016 to March 2019, Senior Vice President, Inventory Planning from January 2013 to March 2019, Vice President, Planning and Inventory from October 2011 to January 2013 and Sr. Director, U.S. Planning and Inventory from May 2010 to October 2011. She served as Merchandising Manager of Douglas Stuart Company from May 2007 to April 2010. She was also previously employed by Lands’ End from July 1991 to May 2007. She has served as a member of the Board of Directors of Thrivent Financial since February 2020, as well as MGE Energy, Inc. (MGE Energy) and Madison Gas and Electric Company (MGE) since March 2024, and serves on the Board of Directors of American Family Children’s Hospital Development Advisory Board, and Women in Retail Leadership Circle.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right="2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other information in this Annual Report on Form 10-K in evaluating our company and our common stock. Any of the following risks could materially and adversely affect our business, results of operations or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economic conditions on consumer discretionary spending and customers has in the past and could, in the future, adversely affect our financial performance.</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Apparel purchases are discretionary expenditures that historically have been influenced by domestic and global economic conditions. Higher prices for consumer goods may result in less discretionary spending for consumers. Changes in consumer spending have resulted and may continue to result in reduced demand for our products, increased inventories, lower revenues, higher discounts, pricing pressures and lower gross margins.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Global and domestic conditions that have an effect on consumer discretionary spending include but may not be limited to: unemployment, general and industry-specific inflation, consumer confidence, consumer purchasing and saving habits, credit conditions, stock market performance, home values, population growth, household incomes and tax policies. Material changes to governmental policies related to domestic and international fiscal concerns, and/or changes in central bank policies with respect to monetary policy also could affect consumer discretionary spending. Any of these additional factors affecting consumer discretionary spending may further influence our customers’ purchasing preferences, potentially having a further material impact on our financial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have had and could, in the future, adversely affect our business, operating results and financial condition.</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Global economic conditions have impacted, and will likely continue to impact, businesses around the world. Macroeconomic changes in the U.S. and the global economy such as interest rates, tariffs, material costs and energy prices have created and may continue to create a challenging economic environment. The following factors attributable to uncertain economic and financial market conditions could have a material adverse effect on our business, operating results and financial condition:</w:t>
      </w:r>
    </w:p>
    <w:p>
      <w:pPr>
        <w:spacing w:after="0" w:line="72"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may continue to cause increases in costs of core consumer products, such as gasoline, food and energy, which in turn are likely to reduce household spending on the consumer discretionary products we offer;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availability and prices for commodities and raw materials that we use in our products and in our supply chain (such as cotton);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expense could increase if prevailing interest rates increase, because our debt bears interest at variable rates;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distribution channel conducts business in various currencies, which creates exposure to fluctuations in foreign currency rates relative to the U.S. Dollar.</w:t>
      </w:r>
    </w:p>
    <w:p>
      <w:pPr>
        <w:spacing w:after="0" w:line="54"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In the current uncertain economic environment, we cannot predict whether or when such circumstances may improve or worsen, or what impact, if any, such circumstances could have on our business, results of operations, cash flows and financial position.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information technology systems could be negatively impacted by natural disasters, extreme weather conditions, public health emergencies, including pandemics, or political crises or other catastrophic events.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vendors and operations are located throughout the world including locations subject to natural disasters or extreme weather conditions, public health emergencies, including pandemics, or terrorist attacks, political or military conflicts as well as other potential catastrophic events. The occurrence of any of these events could disrupt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and/or technology and therefore negatively impact sales of our products and may also heighten other risks described in this section, including but not limited to those related to consumer behavior and expectations, competition, brand reputation, implementation of strategic initiatives, cybersecurity threats, payment-related risks, technology systems disruption, global supply chain disruptions, labor availability and cost, litigation, operational risk as a result of remote work arrangements and regulatory requirements.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unseasonal or severe weather conditions or significant weather events caused by climate change may adversely affect our merchandise sales.</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business is adversely affected by unseasonal weather conditions and may be affected by significant weather events due to climate change. Sales of our spring and summer products, which traditionally consist of lighter clothing and swimwear, are adversely affected by cool or wet weather. Similarly, sales of our fall and winter products, which are traditionally weighted toward outerwear, are adversely affected by mild, dry or warm weather. In addition, severe weather events typically result in reduced traffic at Company Operated store locations which could lead to reduced sales of our merchandise. Severe weather events may impact our ability to deliver orders to customers in a timely manner, supply our Company Operated stores and adequately staff our distribution centers and Company Operated stores, which could have an adverse effect on our business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MICROECONOMIC CONDITIONS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in nature and any decrease in our sales or margins, especially during the fourth quarter of our fiscal year, could have an adverse effect on our business and results of operations.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Our business is seasonal, with the highest levels of sales typically occurring during the fourth quarter of our fiscal year. Our fourth quarter results in the future may fluctuate based upon factors such as the timing of holiday season dates, inventory positions, global supply chain challenges, promotions, level of markdowns, competitive factors, weather and general economic conditions. Any decrease in sales or margins, for example, as a result of increased promotional activity, increased costs, economic conditions, poor weather or other factors, could have an adverse effect on our business and results of operations. In addition, seasonal fluctuations also affect our inventory levels since we usually order merchandise in advance of peak selling periods. To manage customer demand, we need to maintain an appropriate, but large amount of inventory, especially increasing it before the fourth quarter peak selling periods. If we are not successful in selling inventory during these periods, we may have to sell the inventory after the peak selling period at significantly reduced prices, which could adversely affect our business and results of operations. Furthermore, with the seasonal nature of our business, over 1,500 flexible part-time employees join us each year to support our fourth quarter holiday shopping season. An inability to attract qualified flexible part-time personnel could interrupt our sales during such peak seasons.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anticipated increases in the cost and availability of catalog paper, printing services, distribution, and postage have had and could continue to have an adverse effect on our business and results of operations.</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Catalog mailings are an important aspect of our marketing efforts. Costs relating to postage, paper, and printing have increased and may continue to increase the cost of our catalog marketing and could reduce our profitability to the extent that we are unable to offset such increases by raising retail prices, or by implementing more efficient printing, mailing, delivery, and order fulfillment systems, or by using alternative direct-mail formats.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Paper for catalogs and promotional mailings is an essential resource in the success of our business. The continuous changes to the global paper market have resulted in plant closures and equipment conversion and lower available volume of specialty paper grades. The market price for paper has fluctuated significantly and may continue to fluctuate in the future. In addition, future pricing and supply availability of catalog paper may be impacted in the United States and Europe. The multi-year price of paper may be subject to fluctuation under our contracts for the supply of paper and we are not guaranteed access to, or reasonable prices for, the amounts required for the operation of our business over the long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We also depend upon external vendors to print and mail our catalogs. Partially due to the consolidation of printing companies, there are a limited number of printers that can handle such needs which subjects us to risks if any printer fails to perform as required. The cost to print catalogs may also fluctuate based on several factors beyond our control, including commodity prices for ink and solvents, changes in supply and demand, labor costs, and energy.</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currently use national mail carriers for distribution of substantially all our catalogs and a fluctuating quantity of our outbound customer deliveries. Therefore, we are vulnerable to postal rate increases, changes in discounts for bulk mailings and sorting by zip code and carrier routes which we currently leverage for cost savings.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merchandise promotions and markdowns to encourage consumer purchases could adversely affect our gross margins and results of operations.</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apparel industry is dominated by large brands and national/mass retailers, where price competition, promotion, and branded product assortment drive differentiation between competitors. In order to be competitive, we must offer customers compelling products at attractive prices. In recent periods, the use of promotions and markdowns, as appropriate, is a strategy we have employed to offer attractive prices. Heavy reliance on promotions and markdowns to encourage customers to purchase our merchandise could have a negative impact on our gross margins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in the future for our general corporate purposes or growth strategies and such financing may not be available on favorable terms, or at all, and may be dilutive to existing stockholders.</w:t>
      </w:r>
    </w:p>
    <w:p>
      <w:pPr>
        <w:spacing w:after="0" w:line="5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We may need to seek additional financing for our general corporate purposes or growth strategies. We may be unable to obtain any desired additional financing on terms favorable to us, or at all, depending on macroeconomic or other market conditions which are outside of our control. The ability to raise additional financing depends on numerous factors, including general economic and market conditions, the health of financial institutions, our credit ratings and lenders’ assessments of our prospects and the prospects of the retail industry in general, which are impacted by current macroeconomic conditions. The lenders, under our existing or any future credit facilities, may not be able to meet their commitments if they experience shortages of capital and liquidity. With negative changes in market conditions, we may be subject to limitations on our operations due to restrictive covenants in current Debt Facilities. If adequate funds required through debt issuance are not available on acceptable terms, we may be unable to fund our capital needs required to successfully develop or enhance our products, or respond to competitive pressures, any of which could negatively affect our business. If we are not able to fulfill our liquidity needs through operating cash flows and/or borrowings under credit facilities or otherwise in the capital markets, our business and financial condition would be adversely affected.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total debt and the underlying debt agreements, which contain terms and conditions which impose restrictions on us, may affect our ability to operate our business, placing us at a competitive disadvantage in our industry.</w:t>
      </w:r>
    </w:p>
    <w:p>
      <w:pPr>
        <w:spacing w:after="0" w:line="5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debt and debt service requirements could adversely affect our ability to operate our business and may limit our ability to take advantage of potential business opportunities. Our level of debt presents the following risks, among others:</w:t>
      </w:r>
    </w:p>
    <w:p>
      <w:pPr>
        <w:spacing w:after="0" w:line="54" w:lineRule="exact"/>
        <w:rPr>
          <w:sz w:val="20"/>
          <w:szCs w:val="20"/>
          <w:color w:val="auto"/>
        </w:rPr>
      </w:pPr>
    </w:p>
    <w:p>
      <w:pPr>
        <w:jc w:val="both"/>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required to use a substantial portion of our cash flow from operations to pay principal (including amortization) and interest on our debt, thereby reducing the availability of our cash flow to fund working capital, capital expenditures, strategic acquisitions and other general corporate requirements;</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debt leverage ratio could limit our ability to raise additional financing on satisfactory terms, which increases our vulnerability to an economic downturn or a change in market conditions, limits our flexibility in planning for, or reacting to changes in our business or industry, and decreases our ability to fund working capital, capital expenditures, strategic acquisitions and other general corporate requirements, placing us at a competitive disadvantage compared to our competitors that are less leveraged;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1000" w:hanging="493"/>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debt contain certain financial covenants, including a quarterly maximum total leverage ratio test, and a monthly minimum liquidity test (the “financial covenants”) and other covenants which limit our ability to pay dividends or make other restricted payments and investments; and</w:t>
      </w:r>
    </w:p>
    <w:p>
      <w:pPr>
        <w:spacing w:after="0" w:line="67" w:lineRule="exact"/>
        <w:rPr>
          <w:rFonts w:ascii="Times New Roman" w:cs="Times New Roman" w:eastAsia="Times New Roman" w:hAnsi="Times New Roman"/>
          <w:sz w:val="18"/>
          <w:szCs w:val="18"/>
          <w:color w:val="auto"/>
        </w:rPr>
      </w:pPr>
    </w:p>
    <w:p>
      <w:pPr>
        <w:jc w:val="both"/>
        <w:ind w:left="1000" w:hanging="493"/>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with the operating and financial covenants could result in an event of default which, if not cured or waived, could result in the acceleration of the applicable debt or may result in the acceleration of any other debt to which a cross-acceleration or cross-default provision applies, and in the event our creditors accelerate the repayment of our borrowings, we and our subsidiaries may not have sufficient assets to repay that debt and the lenders could proceed against the collateral granted to them to secure such indebtedness. Our ability to meet these covenants can be affected by events beyond our control, and we cannot assure that we will meet them.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could continue to incur non-cash charges due to impairment of intangible assets and long-lived assets.</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As of January 31, 2025, our intangible asset consists of our trade name, which is subject to testing for impairment annually or more frequently if events or changes in circumstances indicate that the asset might be impaired. Any event that impacts our reputation could result in impairment charges for our trade name. Long-lived assets, primarily property and equipment,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intangible assets or long-lived assets, which could have an adverse effect on our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BRAND AND BRAND EXECUTION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customer preference for our branded merchandise and services change or we cannot compete effectively in the apparel industry, our business and results of operations may be adversely affected.</w:t>
      </w:r>
    </w:p>
    <w:p>
      <w:pPr>
        <w:spacing w:after="0" w:line="5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products and services must satisfy the desires of customers, whose preferences change over time. Sales of branded merchandise account for substantially all our total revenues and the Lands’ End brand is a critical differentiating factor for our business. Our inability to develop products that resonate with our existing customers and attract new customers, our inability to maintain our strict quality standards or to develop, produce and deliver innovative products in a timely manner, or any unfavorable publicity with respect to the foregoing or otherwise could negatively impact the image of our brand with our customers and could result in diminished appeal of our brand. As customer preferences change, our failure to anticipate, identify and react in a timely manner to emerging trends and appropriately provide attractive high-quality products that maintain or enhance the appeal of our brand through our websites, catalogs, licensed products and Company Operated stores could have an adverse effect on our sales, operating margins and results of operations.</w:t>
      </w:r>
    </w:p>
    <w:p>
      <w:pPr>
        <w:spacing w:after="0" w:line="84"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apparel industry is highly competitive. We compete with a diverse group of direct-to-consumer companies and retailers, including national department store chains, women’s and men’s specialty apparel chains, apparel catalog businesses, sportswear marketers and online apparel businesses that sell similar lines of merchandise. Brand image, marketing, design, price, service, quality, image presentation, fulfillment and customer service are all competitive factors. Our competitors may be able to adopt more aggressive pricing policies, adapt to changes in customer preferences or requirements more quickly, devote greater resources to the design, sourcing, distribution, marketing and sale of their products, or generate greater national brand recognition than we can. An inability to overcome these potential competitive disadvantages or effectively market our products relative to our competitors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overall marketing strategies for digital marketing and direct mail catalogs and customers’ use of our digital platform, including our eCommerce websites.</w:t>
      </w:r>
    </w:p>
    <w:p>
      <w:pPr>
        <w:spacing w:after="0" w:line="5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customers’ use of our eCommerce websites and their response to our digital marketing and direct mail catalogs. The level of customer traffic and volume of customer purchases on our eCommerce website is substantially dependent on the ability to provide attractive and accessible websites, maintain a robust customer list, provide a high-quality customer experience and reliable delivery of our merchandise. If we are unable to maintain and increase customer traffic to our eCommerce website and the volume of goods they purchase, including, as a result of changes to the level and types of marketing or amount of spend allocated to each type of marketing, or through the failure to otherwise successfully promote and maintain websites and their associated services, our revenue and results of operations could be adversely affected. In addition, any future privacy rules or other regulations could adversely impact our business to the extent we need to limit or change our digital marketing efforts.</w:t>
      </w:r>
    </w:p>
    <w:p>
      <w:pPr>
        <w:spacing w:after="0" w:line="8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We have been increasing our investment in digital marketing and social media and optimizing our catalog productivity. This shift in marketing strategy could have a negative impact if customers that previously relied on the direct mail catalog do not respond as favorably through the digital marketing channel.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or preserve the image of our brands, our reputation and our intellectual property rights, our business may be adversely affected.</w:t>
      </w:r>
    </w:p>
    <w:p>
      <w:pPr>
        <w:spacing w:after="0" w:line="5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regard our copyrights, service marks, trademarks, trade dress, trade secrets and similar intellectual property as critical to our success. As such, we rely on trademark and copyright law, trade secret protection and confidentiality agreements with our associates, consultants, vendors and others to protect our proprietary rights. Nevertheless, the steps we take to protect our proprietary rights may be inadequate and we may have trouble in effectively limiting unauthorized use of our trademarks and other intellectual property worldwide. Unauthorized use of our trademarks, copyrights, trade secrets or other proprietary rights may cause significant damage to our brands and our ability to effectively represent ourselves to agents, suppliers, vendors, licensees and/or customers.</w:t>
      </w:r>
    </w:p>
    <w:p>
      <w:pPr>
        <w:spacing w:after="0" w:line="7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Additionally, our efforts to pursue licensing and wholesale relationships with third parties increases risk of brand damage. If third parties do not adhere to our standards or if we fail to maintain the image of our brands due to merchandise and service quality issues, adverse publicity, governmental investigations or litigation, or other reasons, our brands and reputation could be damaged, and our business may be adversely affected.</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Third parties may sue us for alleged infringement of their proprietary rights. The party claiming infringement might have greater resources than we do to pursue its claims, and we could be forced to incur substantial costs and devote significant management resources to defend against such litigation. If the party claiming infringement were to prevail, we could be forced to discontinue the use of the related trademark or design, pay significant damages, or enter into expensive royalty or other arrangements with the prevailing party, assuming these royalty or other arrangements are economically feasible, which they may not be.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vendors to provide us with services in connection with certain aspects of our business, and any failure by these vendors to perform their obligations could have an adverse effect on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entered into agreements with vendors for logistics services, information technology systems (including website hosting), credit card processing, onshore and offshore software development and support, catalog production, distribution and packaging, customer returns and employee benefits. Services provided by any of our vendors could be interrupted as a result of many factors, such as acts of nature or contract disputes. Any failure by a vendor to provide us with contracted-for services on a timely basis or within service level expectations and performance standards could result in a disruption of our business and have an adverse effect on our business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Company Operated stores may not be successful, and as a result our business and results of operations could be adversely affected.</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Company Operated stores are dependent on our ability to operate all locations effectively and attract customers with a compelling assortment. Our Company Operated store operations include managing the store and recruiting and hiring store management and associates. In addition, we are required to implement retail-specific marketing plans, and enhance inventory management skills specific to retail, such as those related to allocation and replenishment of product. If customers are not receptive of our store locations and concept, customer traffic, projected store sales and profitability may suffer.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GLOBAL OPERATIONS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timely and effectively obtain shipments of products from our vendors and deliver merchandise to our customers, our business and operating results could be adversely affected.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do not own or operate any manufacturing facilities and therefore depend upon independent merchandise suppliers and vendors for the manufacture of our merchandise. We cannot control all of the various factors that might affect timely and effective procurement of supplies of product from our vendors, including labor issues and other disruptions. From time to time, some of our factories that produce our product have experienced temporary suspension of operations due to labor issues and other disruptions.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products that we purchase are shipped to our distribution centers in Wisconsin and the United Kingdom. Our reliance on a limited number of distribution centers makes us more vulnerable to unforeseen events that could delay or impair our ability to fulfill customer orders and/or ship merchandise to our Company Operated stores. Our ability to mitigate the adverse impacts of these events depends in part upon the effectiveness of our disaster preparedness and response planning, as well as business continuity planning which may not be adequate or perform as intended.</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utilization of imports also makes us vulnerable to risks associated with products manufactured abroad, including, among other things, transportation and other delays in ocean shipments, unexpected or significant port congestion, lack of freight availability, increased cost to secure freight availability, freight cost increases, risks of damage, destruction or confiscation of products while in transit to a distribution center, organized labor strikes and work stoppages, heightened security screening and inspection processes or other port-of-entry limitations or restrictions in the United States and the United Kingdom.</w:t>
      </w:r>
    </w:p>
    <w:p>
      <w:pPr>
        <w:spacing w:after="0" w:line="7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rely upon third-party land-based and air freight carriers for merchandise shipments from our distribution centers to customers. Accordingly, we are subject to the risks, including labor disputes, union organizing activity, trucking shortages, inclement weather and increased logistics costs, associated with such carriers’ ability to provide delivery services to meet outbound shipping needs. The changing mix of our outbound freight carriers may result in higher costs and customer delays. In addition, if the cost of fuel rises or surcharges increase, the cost to deliver merchandise from distribution centers to customers may rise, and, although some of these costs are paid by our customers, such costs could have an adverse impact on our profitability. Any increase in order fulfillment, shipping costs and surcharges may have an adverse effect on our profitability and future financial performance.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and increases in the cost, availability, and quality of raw materials as well as fluctuations in other production and distribution related costs could adversely affect our business and results of operations.</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products are manufactured using several key raw materials, including wool and cotton, which are subject to fluctuations in price and availability and many of which are produced in emerging markets in Asia and South America. The prices of these raw materials may also fluctuate based on a number of other factors beyond our control, including commodity prices such as prices for oil, changes in supply and demand, labor costs, competition, import duties, tariffs, anti-dumping duties, currency exchange rates and government regulation. These fluctuations in cost, availability and quality of raw materials used to manufacture our merchandise may result in an increase in our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purchase products from our vendors and could have an adverse effect on our cost of goods. Increases in raw material cost may cause us to increase our prices, which may not be acceptable to our customers.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forecast our inventory needs, efficiently manage inventory levels and have proper controls to protect our inventory, our results of operations could be adversely affected.</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must maintain sufficient inventory levels to operate our business successfully. Sufficient inventory levels are maintained by our ability to accurately forecast the product needs for each distribution channel, our ability to accurately report our inventory levels and our ability to protect those assets.</w:t>
      </w:r>
    </w:p>
    <w:p>
      <w:pPr>
        <w:spacing w:after="0" w:line="6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If we do not accurately anticipate the future customer demand for a particular product, forecast the inventory levels by distribution center and third-party logistics warehouse, report the current inventory level for a particular product, protect the physical inventory or project the time it will take to obtain new inventory, inventory levels will not be appropriate, and our results of operations could be adversely affected. We must also avoid accumulating excess inventory, which increases working capital needs, increases carrying costs of the inventory, including an increase in interest expense on variable rate debt, and could lower gross margins. On the other hand, if we underestimate demand for a particular product, we may experience inventory shortages resulting in lost revenues.</w:t>
      </w:r>
    </w:p>
    <w:p>
      <w:pPr>
        <w:spacing w:after="0" w:line="79" w:lineRule="exact"/>
        <w:rPr>
          <w:sz w:val="20"/>
          <w:szCs w:val="20"/>
          <w:color w:val="auto"/>
        </w:rPr>
      </w:pPr>
    </w:p>
    <w:p>
      <w:pPr>
        <w:jc w:val="both"/>
        <w:ind w:right="20" w:firstLine="499"/>
        <w:spacing w:after="0" w:line="261" w:lineRule="auto"/>
        <w:rPr>
          <w:sz w:val="20"/>
          <w:szCs w:val="20"/>
          <w:color w:val="auto"/>
        </w:rPr>
      </w:pPr>
      <w:r>
        <w:rPr>
          <w:rFonts w:ascii="Times New Roman" w:cs="Times New Roman" w:eastAsia="Times New Roman" w:hAnsi="Times New Roman"/>
          <w:sz w:val="18"/>
          <w:szCs w:val="18"/>
          <w:color w:val="auto"/>
        </w:rPr>
        <w:t>We obtain substantially all our inventory from vendors located outside the United States. Some of these vendors require lengthy advance notice of order requirements in order to be able to supply products in the quantities requested. This usually requires us to order merchandise and enter into commitments for the purchase of such merchandise well in advance of the time these products will be offered for sale, which makes responding to changing markets challenging.</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Our own websites, third-party suppliers and third-party marketplaces rely on our ability to report and exchange accurate inventories by style, color and size to support customer orders. If we are not able to accurately report inventory information our results of operations could be negatively impacted.</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store high volumes of inventory and are subject to the attendant risks of inventory loss, spoilage, shrink, scrap and theft (which we collectively refer to as “shrinkage”). Although some level of inventory shrinkage is unavoidable, if we were to experience higher than expected rates of inventory shrinkage, be unable to accurately record inventory transactions or incur increased security costs to combat inventory theft, it could have a material adverse effect on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Deterioration of relationships with our vendors and/or the failure of our new merchandise sourcing initiatives could have an adverse effect on our competitive position and operational results.</w:t>
      </w:r>
    </w:p>
    <w:p>
      <w:pPr>
        <w:spacing w:after="0" w:line="5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have long standing relationships with the vendors that supply a significant portion of our merchandise but do not operate under long-term agreements. Therefore, our success relies on maintaining good relations with these vendors. Our growth strategy depends to a significant extent on the willingness and ability of our vendors to efficiently supply merchandise that is consistent with our standards for quality and value. In the event we engage new vendors, it may cause us to encounter delays in production and added costs as a result of the time it takes to guide and educate our vendors in producing our products and adhering to our standards. If we cannot obtain a sufficient amount and variety of quality product at acceptable prices, it could have a negative impact on our competitive position. This could result in lower revenues and decreased customer interest in our product offerings, which, in turn, could adversely affect our business and results of operations.</w:t>
      </w:r>
    </w:p>
    <w:p>
      <w:pPr>
        <w:spacing w:after="0" w:line="8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arrangements with our vendors are generally not exclusive. As a result, our vendors might be able to sell similar products to our competitors, some of which purchase products in significantly greater volume. Our competitors may enter into arrangements with suppliers that could impair our ability to sell those suppliers’ products, including by requiring suppliers to enter into exclusive arrangements, which could limit our access to such arrangements or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merchandising sourcing strategies are designed to increase the efficiency and responsiveness of our supply chain and include both vendor rationalization, vendor productivity and third-party sourcing assistance. In the event these strategies are unsuccessful, our business could be adversely affected.</w:t>
      </w:r>
    </w:p>
    <w:p>
      <w:pPr>
        <w:spacing w:after="0" w:line="6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reputation and customers’ willingness to purchase our products depend in part on our independent vendors and licensing partners compliance with ethical employment practices, such as with respect to child labor, wages and benefits, forced labor, discrimination, freedom of association, unlawful inducements, safe and healthy working conditions, and with all legal and regulatory requirements relating to the conduct of their business and safety standards of materials. While we operate compliance and monitoring programs to promote ethical and lawful business practices and verify compliance with safety standards, we do not exercise ultimate control over our independent vendors and licensing partners or their business practices and cannot guarantee their compliance with ethical and lawful business practices and safety standards. Violation of ethical, labor, safety, or other standards by independent vendors and licensing partners, or the divergence of an independent vendor’s or licensing partner’s labor practices from those generally accepted as ethical in the United States could hurt our reputation or materially impact our ability to import products manufactured by these vendors or from the regions in which they operate, which could have an adverse effect on our business and results of operations.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and rely on sources for merchandise located in foreign markets and our business may therefore be adversely affected by legal, regulatory, economic and political risks associated with international trade in those markets.</w:t>
      </w:r>
    </w:p>
    <w:p>
      <w:pPr>
        <w:spacing w:after="0" w:line="5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majority of our merchandise is manufactured in Asia and South America, depending on the nature of the product mix. These products are either imported directly by us or indirectly by distributors who, in turn, sell products to us. Any increase in the cost of merchandise purchased from these vendors or restrictions on the merchandise made available by these vendors could have an adverse effect on our business and results of operations.</w:t>
      </w:r>
    </w:p>
    <w:p>
      <w:pPr>
        <w:spacing w:after="0" w:line="68"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The U.S. government has in the past made, and may in the future make, significant changes in U.S. trade policy and has taken certain actions that could negatively impact U.S. trade, including imposing tariffs on certain goods imported into the United States. In retaliation, China has in the past implemented, and may in the future implement, tariffs on a wide range of American products. There is also a concern that the imposition of tariffs by the United States could result in the adoption of tariffs by other countries as well, leading to a global trade war. More specifically, the U.S. government has from time to time imposed significant tariffs on certain product categories imported from China, including apparel, footwear, beauty and accessories. As of the date of this report, tariffs have not had a material impact on our business, but increased tariffs or trade restrictions implemented by the United States or other countries could have a material adverse effect on our business, financial condition and results of operations.</w:t>
      </w:r>
    </w:p>
    <w:p>
      <w:pPr>
        <w:spacing w:after="0" w:line="8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We also sell our products globally. Our reliance on vendors in foreign markets and the marketing of products to customers in foreign markets creates risks inherent in doing business in foreign jurisdictions, including:</w:t>
      </w:r>
    </w:p>
    <w:p>
      <w:pPr>
        <w:spacing w:after="0" w:line="54" w:lineRule="exact"/>
        <w:rPr>
          <w:sz w:val="20"/>
          <w:szCs w:val="20"/>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variety of foreign laws and regulations, including trade and labor restrictions;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in the countries and regions where our customers or vendors are located;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fluctuations in currency exchange rates;</w:t>
      </w:r>
    </w:p>
    <w:p>
      <w:pPr>
        <w:spacing w:after="0" w:line="117" w:lineRule="exact"/>
        <w:rPr>
          <w:rFonts w:ascii="Times New Roman" w:cs="Times New Roman" w:eastAsia="Times New Roman" w:hAnsi="Times New Roman"/>
          <w:sz w:val="18"/>
          <w:szCs w:val="18"/>
          <w:color w:val="auto"/>
        </w:rPr>
      </w:pPr>
    </w:p>
    <w:p>
      <w:pPr>
        <w:jc w:val="both"/>
        <w:ind w:left="1000" w:hanging="493"/>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United States and other country laws relating to foreign operations, including the Foreign Corrupt Practices Act, the U.K. Modern Slavery Act, the U.K. Bribery Act, the European Union General Data Protection Regulation (the GDPR), the U.K. Data Protection Act 2018, and a growing number of customer privacy initiatives throughout the world;</w:t>
      </w:r>
    </w:p>
    <w:p>
      <w:pPr>
        <w:spacing w:after="0" w:line="6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non-United States laws affecting the importation and taxation of goods, including duties, tariffs and quotas, enhanced security measures at United States ports, or imposition of new legislation relating to import quotas;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labor, fuel, travel and other logistics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anti-dumping or countervailing duty proceedings resulting in the potential assessment of special anti-dumping or countervailing duties;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 including those due to the failure of vendors or distributors to comply with import regulations;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such as the current conflict between Russia and Ukraine, hostilities in the Middle East, increasing tension in Southeast Asia, and acts of terrorism; and</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in the United States that may have an impact on the trading status of certain countries and may include retaliatory duties or other trade sanctions.</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Any inability on our part to successfully operate in foreign jurisdictions and rely on our foreign sources of production, due to any of the factors listed above, could have an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expand our distribution channels and geographic reach may not be successful.</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strategy includes initiatives to further our reach in the United States and in several countries throughout the world through various distribution channels and brands, including through relationships with third-party eCommerce marketplaces. We have limited experience operating in many of these locations and with third parties and face major, established competitors. We may also experience barriers to entry. We may seek additional business partners or licensees to assist us in these efforts, however we may not be successful in establishing such relationships. Moreover, consumer tastes and trends may differ in many of these locations from those in our existing locations, and as a result, the sales of our products may not be successful or profitable. If our expansion efforts are not successful or do not deliver an appropriate return on our investments, our business could be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CYBERSECURITY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new information technology systems, we could experience significant disruptions to our operations.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employ a variety of third-party and internally-developed systems including web sites, point of sale, telecommunications, email, design and merchandising, production management, inventory management, warehouse management, financial, and human resources systems to maintain our business. Some of these systems are aged and difficult to maintain. All systems are subject to damage or interruption from power outages, computer and telecommunications failures, computer viruses, security breaches, catastrophic events such as fires, tornadoes and hurricanes, and usage errors by our employees or vendors. Such damage or interruption, if pervasive or prolonged, may have a material adverse impact on our business or results of operation.</w:t>
      </w:r>
    </w:p>
    <w:p>
      <w:pPr>
        <w:spacing w:after="0" w:line="75"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support of our business strategies, we implement new solutions and upgrade existing ones to offer, sell and fulfill our products through Lands’ End distribution channels and with wholesale partners, licensees and external marketplaces. As we deploy such changes, we must maintain effective internal controls and operational processes. Any difficulties encountered in completing these activities, as well as problems in technical resources, system performance or system adequacy, including loss or corruption of data, could have an adverse impact on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protect against cyber security threats, maintain customer privacy, or secure employee and company information, we could experience significant business interruption and become subject to litigation.</w:t>
      </w:r>
    </w:p>
    <w:p>
      <w:pPr>
        <w:spacing w:after="0" w:line="5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information technology systems are potentially vulnerable to malicious intrusion and targeted or random cyber-attacks. Although we have invested in the protection and monitoring of our information technology network, proprietary and customer data and systems, there can be no assurance that these efforts will prevent breaches in our information technology systems that could adversely affect our business.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and privacy is increasingly rigorous with new and rapidly changing requirements applicable to our business. Compliance with the European Union General Data Protection Regulation (GDPR), the California Consumer Privacy Act (CCPA), the California Privacy Rights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(CPRA) and other privacy laws requires and will continue to require significant management and financial resources. We could be held liable to government agencies, our customers or other parties or be subject to significant fines, regulatory or other actions for breaching privacy and information security laws and regulations, and our business and reputation could be adversely affected by any resulting loss of customer confidence, litigation, civil or criminal penalties or adverse publicity.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Any significant compromise or breach of customer, employee or company data security, could significantly damage our reputation and result in additional costs, lost sales, fines and lawsuits. There can be no assurance that the procedures that we or our third-party providers have implemented to protect against unauthorized access to secured data are adequate to safeguard against all data security breaches.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highly dependent upon our information technology systems and failures or interruptions of service or security breaches in our systems may interrupt our operations and harm our business.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operations are dependent upon the successful and uninterrupted functioning of our computer and information technology systems. We rely heavily on information technology systems across our operations, including those we use for finance and accounting functions, supply chain management, point-of-sale processing, online and mobile platforms, mobile payment processing, and various other processes and functions. Many of these systems are interdependent on one another for their functionality. Additionally, the success of several of our initiatives to drive growth, including our priority to expand digital engagement with our customers, is highly dependent on the reliability, availability, integrity, scalability and capacity of our information technology systems. We also rely on third-party providers and platforms for some of these information technology systems and support.</w:t>
      </w:r>
    </w:p>
    <w:p>
      <w:pPr>
        <w:spacing w:after="0" w:line="79"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Our operational safeguards may not be effective in preventing the failure of these systems to operate effectively and be continuously available to run our business. Such failures may be caused by various factors, including fire, natural disaster, power loss, telecommunications failure, problems with transitioning to upgraded or replacement systems, physical break-ins, programming errors, flaws in third-party software or services, disruptions or service failures of technology infrastructure facilities, such as storage servers, provided by third parties, errors or malfeasance by our employees or third-party service providers or breaches in the security of these systems or platforms, including unauthorized entry and computer viruses. We cannot assure you that we will resolve these system failures and restore our systems and operations in an effective and timely manner. Such system failures and any delayed restore process could result in:</w:t>
      </w:r>
    </w:p>
    <w:p>
      <w:pPr>
        <w:spacing w:after="0" w:line="8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theft of customer, employee or other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claims, government investigations and enforcement actions, fraud losses or other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computer and information security and systems development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MAJORITY OWNERSHIP</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Edward Lampert and his investment affiliates, whose interests may be different from the interests of other stockholders, may be able to exert substantial influence over Lands’ End.</w:t>
      </w:r>
    </w:p>
    <w:p>
      <w:pPr>
        <w:spacing w:after="0" w:line="5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According to an amendment to Schedule 13D filed with the SEC on February 25, 2025, Edward S. Lampert beneficially owned 55.3% of our outstanding shares of common stock as of February 24, 2025. Accordingly, Mr. Lampert could have substantial influence over any action by us that requires approval by our stockholders, including but not limited to the election of directors and any transactions involving a change of control. The interests of Mr.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Lampert, who has direct and indirect investments in other companies, including ESL Investments, Inc., may from time to time diverge from the interests of our other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price may decline if Mr. Lampert decides to sell a portion of his holdings of our common stock.</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Mr. Lampert is not subject to any contractual obligation to maintain his ownership position in Lands’ End, and we cannot assure you that he will. Any sale by Mr. Lampert of our common stock, or any announcement by Mr. Lampert that he has decided to sell shares of our common stock, could have an adverse impact on the price of our common stock. In a letter to the Board of Directors of Lands’ End sent on February 24, 2025, Mr. Lampert stated that if Lands’ End chooses not to pursue a process to sell the company, he intends to seek a buyer for his controlling interest at a fair and appropriate price.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exploration and pursuit of strategic alternatives may not be successful.</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March 7, 2025, we announced that our Board of Directors initiated a process to explore strategic alternatives to maximize shareholder value. Our exploration of strategic alternatives, including a sale, merger or similar transaction, may not result in the identification or consummation of any transaction. In addition, the process of exploring strategic alternatives may be disruptive to our operations and we may incur substantial expenses associated with identifying and evaluating potential strategic alternatives. Any potential transaction and the related valuation would be dependent upon a number of factors that may be beyond our control, including, among other factors, market conditions and industry trends. Further, speculation regarding any developments related to the strategic alternatives process could cause our stock price to fluctuate significantly.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existing workforce and to attract qualified new personnel in the current labor market and remote and hybrid work models could adversely affect our business and results of operations.</w:t>
      </w:r>
    </w:p>
    <w:p>
      <w:pPr>
        <w:spacing w:after="0" w:line="5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Due to the seasonal nature of our business, we rely heavily on flexible part-time employees to staff our distribution and customer service centers to support our peak seasons, including back-to-school shopping season and fourth quarter holiday shopping season. A potential labor shortage may impact our ability to hire and retain qualified personnel and impact our ability to operate our business effectively. Depending on their position, our employees either work 100% on-site, remotely from home or in a hybrid work model which allows employees to work both remotely from home and in the office. While we have developed and occasionally adjust our work model to achieve what we believe is best for operating our business, we may not be able to attract, hire or retain qualified personnel if competing companies offer a more desirable work model.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executive management team and to attract qualified new personnel could adversely affect our business and results of operations.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depend on the talents and continued efforts of our executive management team. The loss of members of our executive management may disrupt our business and adversely affect our results of operations. Furthermore, our ability to manage further expansion will require us to continue to train, motivate and manage employees and to attract, motivate and retain additional qualified personnel. Competition for these types of personnel is intense, and we may not be successful in attracting, assimilating and retaining the personnel required to grow and operate our business profitably.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may have an adverse effect on our business, results of operations and financial condition.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other factors may affect our profitability and financial condition, including:</w:t>
      </w:r>
    </w:p>
    <w:p>
      <w:pPr>
        <w:spacing w:after="0" w:line="117" w:lineRule="exact"/>
        <w:rPr>
          <w:sz w:val="20"/>
          <w:szCs w:val="20"/>
          <w:color w:val="auto"/>
        </w:rPr>
      </w:pPr>
    </w:p>
    <w:p>
      <w:pPr>
        <w:jc w:val="both"/>
        <w:ind w:left="1000" w:hanging="49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 changes in their interpretation or application, including changes in accounting standards, taxation rates and requirements, product marketing application standards as well as environmental laws, including climate change related legislation, regulations and international accords;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1000" w:hanging="49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fair value measurement of assets and liabilities and their actual value, particularly for intangibles and goodwill, contingent liabilities such as litigation, the absence of a recorded amount, or an amount recorded at the minimum, compared to the actual amount;</w:t>
      </w:r>
    </w:p>
    <w:p>
      <w:pPr>
        <w:spacing w:after="0" w:line="6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inflation, such as current inflationary pressures, interest rates and the performance of investments held by us;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creditworthiness of counterparties that transact business with or provide services to us;</w:t>
      </w:r>
    </w:p>
    <w:p>
      <w:pPr>
        <w:spacing w:after="0" w:line="117" w:lineRule="exact"/>
        <w:rPr>
          <w:rFonts w:ascii="Times New Roman" w:cs="Times New Roman" w:eastAsia="Times New Roman" w:hAnsi="Times New Roman"/>
          <w:sz w:val="18"/>
          <w:szCs w:val="18"/>
          <w:color w:val="auto"/>
        </w:rPr>
      </w:pPr>
    </w:p>
    <w:p>
      <w:pPr>
        <w:jc w:val="both"/>
        <w:ind w:left="1000" w:hanging="49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economic and political conditions, including political instability, war, or other geopolitical conflict, terrorist attacks, the threat of future terrorist activity and related military action, natural disasters, the cost and availability of insurance due to any of the foregoing events, labor disputes, strikes, slow-downs or other forms of labor or union activity, and pressure from third-party interest groups;</w:t>
      </w:r>
    </w:p>
    <w:p>
      <w:pPr>
        <w:spacing w:after="0" w:line="67"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claim experiences and higher than expected large claims under our self-insured health and workers’ compensation insurance programs; and</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financial institutions in which we maintain cash deposits, including those where balances may exceed Federal Deposit Insurance Corporation (“FDIC”) insurance limits.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due to several factors, some of which may be beyond our control, including:</w:t>
      </w:r>
    </w:p>
    <w:p>
      <w:pPr>
        <w:spacing w:after="0" w:line="117"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estimated by securities analysts or our ability to meet those estimates;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regulatory and legal environment under which we operate;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conditions.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Further, when the market price of a company’s common stock drops significantly, stockholders often initiate securities class action lawsuits against the company. A lawsuit against us could cause us to incur substantial costs and could divert the time and attention of our senior management and other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Lands’ End may be diluted in the future.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in Lands’ End may be diluted because of equity issuances for acquisitions, strategic investments, capital market transactions or otherwise, including equity awards that we may grant to our directors, officers and employees.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Exposure to periodic litigation and other regulatory proceedings, including with respect to product liability claims. These proceedings may be affected by changes in laws and government regulations or changes in their enforcement.</w:t>
      </w:r>
    </w:p>
    <w:p>
      <w:pPr>
        <w:spacing w:after="0" w:line="5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lawsuits and regulatory actions relating to our business or products we sell or have sold. These proceedings may be in jurisdictions with reputations for aggressive application of laws and procedures against corporate defendants. We are impacted by trends in litigation, including class-action allegations brought under various consumer protection and employment laws, including wage and hour laws, privacy laws, and laws relating to eCommerce. Due to the inherent uncertainties of litigation and regulatory proceedings, we cannot accurately predict the ultimate outcome of any such proceedings. An unfavorable outcome could have an adverse effect on our business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assessments for additional state taxes, which could adversely affect our business.</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current law, we pay, collect and/or remit taxes for Federal, State and local and foreign jurisdictions where we are required by law. While we believe that we have appropriately remitted all taxes based on our interpretation of applicable law, tax laws are complex, and their application differs by taxing jurisdiction.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An increasing number of taxing jurisdictions may attempt to assess additional taxes and penalties on us or assert an error in our calculation. These include new obligations to collect sales, consumption, value added, or other taxes on online marketplaces and remote sellers, or other requirements that may result in liability for third-party obligations. A change in the application of law, or an interpretation of the law that differs from our own may, if successful, adversely affect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written data security incident response policy and a security incident response plan, which were first developed in 2017 and are periodically reviewed and updated.</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have designed and assessed our program using the National Institute of Standards and Technology Cybersecurity Framework (“NIST CSF”) as a guide to help us identify, assess, and manage cybersecurity risks relevant to our business.</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our legal, compliance, strategic, operational, and financial risk areas.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17" w:lineRule="exact"/>
        <w:rPr>
          <w:sz w:val="20"/>
          <w:szCs w:val="20"/>
          <w:color w:val="auto"/>
        </w:rPr>
      </w:pPr>
    </w:p>
    <w:p>
      <w:pPr>
        <w:ind w:left="100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data security incident response policy and a security incident response plan that include detailed procedures for responding to cybersecurity incidents, determining severity of cybersecurity incidents and notifying appropriate internal and external parties;</w:t>
      </w:r>
    </w:p>
    <w:p>
      <w:pPr>
        <w:spacing w:after="0" w:line="53"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and internal risk assessments designed to help identify material cybersecurity risks to our critical systems, information, products, services, and our broader enterprise information technology environment;</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consisting of members of our information technology department,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tabletop exercises involving the security team, the data security incident management team, and members of management, with special sessions for the Board of Directors;</w:t>
      </w:r>
    </w:p>
    <w:p>
      <w:pPr>
        <w:spacing w:after="0" w:line="53" w:lineRule="exact"/>
        <w:rPr>
          <w:rFonts w:ascii="Times New Roman" w:cs="Times New Roman" w:eastAsia="Times New Roman" w:hAnsi="Times New Roman"/>
          <w:sz w:val="18"/>
          <w:szCs w:val="18"/>
          <w:color w:val="auto"/>
        </w:rPr>
      </w:pPr>
    </w:p>
    <w:p>
      <w:pPr>
        <w:ind w:left="100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audit by a Payment Card Industry (“PCI”) qualified security risk assessor to validate our PCI-Data Security Standard (“PCI-DSS”) compliance;</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1000" w:right="20" w:hanging="49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awareness training, including social engineering and phishing testing of our employees, incident response personnel, and senior management;</w:t>
      </w:r>
    </w:p>
    <w:p>
      <w:pPr>
        <w:spacing w:after="0" w:line="53"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external tools designed to detect and protect against spam, malware and other cybersecurity threats and train personnel;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00" w:hanging="49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security event monitoring.</w:t>
      </w:r>
    </w:p>
    <w:p>
      <w:pPr>
        <w:spacing w:after="0" w:line="117"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adequate, fully complied with or effective in protecting our systems and information.</w:t>
      </w:r>
    </w:p>
    <w:p>
      <w:pPr>
        <w:spacing w:after="0" w:line="5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INFORMATION TECHNOLOGY, CYBERSECURITY AND DATA PRIVACY.”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data protection and cybersecurity risks as part of the Audit Committee’s oversight of the Company’s enterprise risk management framework. The Audit Committee regularly reports to the full Board regarding its activities, including those related to cybersecurity.</w:t>
      </w:r>
    </w:p>
    <w:p>
      <w:pPr>
        <w:spacing w:after="0" w:line="68"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 Audit Committee receives regular reports from management on our cybersecurity risks, which include updates on trends and threats, the Company’s backup and restore systems, internal and external risk assessments, results of PCI and other security audits, and planned updates and upgrades. The Audit Committee also receives regular enterprise risk management updates, which include management of cybersecurity risks.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accordance with our data security incident response plan, management is required to promptly update and discuss with the Audit Committee any material or potentially material cybersecurity incidents and provide an update to the Board upon determination that an incident is material. Management regularly updates the Audit Committee regarding incidents with lesser impact potential.</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management team, including our Chief Financial Officer, Chief Technology Officer and General Counsel (the cybersecurity disclosure committee), is responsible for assessing material risks from cybersecurity threats and our General Counsel oversees any required reporting obligations and notifications. Our Chief Technology Officer has primary responsibility for overseeing our security incident response plan, including identification and initial assessment of threat levels and escalations.</w:t>
      </w:r>
    </w:p>
    <w:p>
      <w:pPr>
        <w:spacing w:after="0" w:line="72"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Critical incidents are escalated to a cross functional data security incident management team for review, which then escalates potentially material incidents and threats to the cybersecurity disclosure committee for determinations of materiality and Audit Committee and Board communications. Our Chief Technology Officer has over 20 years of experience with cybersecurity management response, and multiple direct reports who have 10 or more years of experience leading technology infrastructure and security incident response. Our General Counsel has over eight years of experience leading our incident response management team.</w:t>
      </w:r>
    </w:p>
    <w:p>
      <w:pPr>
        <w:spacing w:after="0" w:line="75"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Chief Technology Officer is the primary point of responsibility for cybersecurity risk management program and supervises both our internal cybersecurity personnel and our retained external cybersecurity consultants. 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and Store Locations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We own or lease domestic and international properties used as offices, customer service centers, distribution centers and Company Operated stores. We believe that our existing facilities are well maintained and are sufficient to meet our current needs. We review all leases with upcoming expiration dates in the short term to determine the appropriate action to take with respect to them, including exercising an option to renew, if any, moving or closing facilities or entering into new leases.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Domestic Headquarters, Customer Service and Distribution Properties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headquarters for our business is located on an approximately 200 acre campus in Dodgeville, Wisconsin. The Dodgeville campus includes approximately 1.8 million square feet of building space between multiple different buildings that are all owned by the Company. The primary functions of these buildings are customer service, distribution center and corporate headquarters. We also own customer service and distribution centers in Reedsburg and Stevens Point, Wisconsin.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International Offices, Customer Service and Distribution Properties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We own a distribution center and customer service center in Oakham, United Kingdom that supports our European business. We lease one building in Mettlach, Germany for offices supporting our European Union business. We also lease office space for our global sourcing office located in Kwun Tong, Hong Kong.</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Retail Properties</w:t>
      </w:r>
    </w:p>
    <w:p>
      <w:pPr>
        <w:spacing w:after="0" w:line="121"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January 31, 2025, our U.S. retail footprint consists of 24 Company Operated stores. The U.S. Company Operated stores are leased and average approximately 7,900 square feet. Additionally, we have two smaller school uniform showrooms that are used for fittings.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spacing w:after="0" w:line="75"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 xml:space="preserve">Lands’ End is the defendant in three separate lawsuits, each of which allege adverse health events and personal property damage as a result of wearing uniforms manufactured by Lands’ End: (1) </w:t>
      </w:r>
      <w:r>
        <w:rPr>
          <w:rFonts w:ascii="Times New Roman" w:cs="Times New Roman" w:eastAsia="Times New Roman" w:hAnsi="Times New Roman"/>
          <w:sz w:val="18"/>
          <w:szCs w:val="18"/>
          <w:i w:val="1"/>
          <w:iCs w:val="1"/>
          <w:color w:val="auto"/>
        </w:rPr>
        <w:t>Gilbert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3:19-cv-00823-JDP, complaint filed October 3, 2019; (2) </w:t>
      </w:r>
      <w:r>
        <w:rPr>
          <w:rFonts w:ascii="Times New Roman" w:cs="Times New Roman" w:eastAsia="Times New Roman" w:hAnsi="Times New Roman"/>
          <w:sz w:val="18"/>
          <w:szCs w:val="18"/>
          <w:i w:val="1"/>
          <w:iCs w:val="1"/>
          <w:color w:val="auto"/>
        </w:rPr>
        <w:t>Andrews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3:19-cv-01066-JDP, complaint filed on December 31, 2019, on behalf of 521 named plaintiffs, later amended to include 1,089 named plaintiffs; and (3) </w:t>
      </w:r>
      <w:r>
        <w:rPr>
          <w:rFonts w:ascii="Times New Roman" w:cs="Times New Roman" w:eastAsia="Times New Roman" w:hAnsi="Times New Roman"/>
          <w:sz w:val="18"/>
          <w:szCs w:val="18"/>
          <w:i w:val="1"/>
          <w:iCs w:val="1"/>
          <w:color w:val="auto"/>
        </w:rPr>
        <w:t>Davis et al. v. Lands’ End, Inc. and Lands’ End Business Outfitters, Inc.</w:t>
      </w:r>
      <w:r>
        <w:rPr>
          <w:rFonts w:ascii="Times New Roman" w:cs="Times New Roman" w:eastAsia="Times New Roman" w:hAnsi="Times New Roman"/>
          <w:sz w:val="18"/>
          <w:szCs w:val="18"/>
          <w:color w:val="auto"/>
        </w:rPr>
        <w:t xml:space="preserve">, United States District Court for the Western District of Wisconsin, Case No. 3:20-cv-00195, complaint filed on March 4, 2020. Plaintiffs in </w:t>
      </w:r>
      <w:r>
        <w:rPr>
          <w:rFonts w:ascii="Times New Roman" w:cs="Times New Roman" w:eastAsia="Times New Roman" w:hAnsi="Times New Roman"/>
          <w:sz w:val="18"/>
          <w:szCs w:val="18"/>
          <w:i w:val="1"/>
          <w:iCs w:val="1"/>
          <w:color w:val="auto"/>
        </w:rPr>
        <w:t>Gilbert, Andrews, and Davis</w:t>
      </w:r>
      <w:r>
        <w:rPr>
          <w:rFonts w:ascii="Times New Roman" w:cs="Times New Roman" w:eastAsia="Times New Roman" w:hAnsi="Times New Roman"/>
          <w:sz w:val="18"/>
          <w:szCs w:val="18"/>
          <w:color w:val="auto"/>
        </w:rPr>
        <w:t xml:space="preserve"> seek nationwide class certification on behalf of similarly situated Delta employees.</w:t>
      </w:r>
    </w:p>
    <w:p>
      <w:pPr>
        <w:spacing w:after="0" w:line="8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By order dated April 20, 2020, the Court consolidated the Gilbert and Andrews cases (the “Consolidated Wisconsin Action”) and stayed the Davis case. Plaintiffs in the Consolidated Wisconsin Action and Davis each assert that the damages sustained by the members of the proposed class exceed $5,000,000. Plaintiffs in each case seek damages for personal injuries, pain and suffering, severe emotional distress, financial or economic loss, including medical services and expenses, lost income and other compensable injuries. Plaintiffs in the Consolidated Wisconsin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Action seek class certification with respect to performance of the uniforms and warranty claims and maintain individual claims for personal injury by numerous named plaintiffs.</w:t>
      </w:r>
    </w:p>
    <w:p>
      <w:pPr>
        <w:spacing w:after="0" w:line="54"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denied plaintiffs’ petition.</w:t>
      </w:r>
    </w:p>
    <w:p>
      <w:pPr>
        <w:spacing w:after="0" w:line="79"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w:t>
      </w:r>
    </w:p>
    <w:p>
      <w:pPr>
        <w:spacing w:after="0" w:line="75"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After giving effect to the July 8 Opinion, the remaining claims under the Consolidated Wisconsin Action related to claims for property damage and breach of warranty. Following these rulings and an order of the court dated December 1, 2022, 277 named Plaintiffs remained in the case who claim they have suffered personal property damage as a result of dye transferring to personal items, with aggregate claims of approximately $110,000 in damages. The Court set a deadline for the parties to voluntarily resolve these remaining outstanding claims, and on July 19, 2023 the parties reported to the Court that they had reached a settlement in principle of the matter, and subsequently entered into a Confidential Settlement, fully resolving the outstanding property damage claims, which were the only remaining claims in the action.</w:t>
      </w:r>
    </w:p>
    <w:p>
      <w:pPr>
        <w:spacing w:after="0" w:line="7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Following the entry of the Final Order by the Court on October 12, 2023, Plaintiffs filed an appeal to the Seventh Circuit. On November 13, 2023, the Court of Appeals for the Seventh Circuit issued an Order suspending the briefing schedule pending a remand to the district court for the limited purpose of issuing a revised final judgement order. On February 15, 2024, the Court of Appeals for the Seventh District remanded the case to the District Court for entry of a final judgement. On February 20, 2024, the District Court entered final judgement in favor of Lands’ End. On March 18, 2024, the Court of Appeals for the Seventh Circuit issued a briefing schedule. All briefs have been filed and oral argument occurred on November 14, 2024. The parties await the decision of the appellate court. Lands’ End continues its vigorous defense of this case and believes the claims are without merit.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Lands’ End’s common stock is traded on the Nasdaq Stock Market under the ticker symbol LE. There were 5,312 stockholders of record as of March 24,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month-to-month summary of information with respect to purchases of common stock made during Fourth Quarter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pursuant to the Share Repurchase Program announced on March 15, 2024:</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Dollar Value (in</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thousands) of</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2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2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Yet Be Purchased</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vMerge w:val="restart"/>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260" w:type="dxa"/>
            <w:vAlign w:val="bottom"/>
          </w:tcPr>
          <w:p>
            <w:pPr>
              <w:spacing w:after="0"/>
              <w:rPr>
                <w:sz w:val="7"/>
                <w:szCs w:val="7"/>
                <w:color w:val="auto"/>
              </w:rPr>
            </w:pPr>
          </w:p>
        </w:tc>
        <w:tc>
          <w:tcPr>
            <w:tcW w:w="132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240" w:type="dxa"/>
            <w:vAlign w:val="bottom"/>
          </w:tcPr>
          <w:p>
            <w:pPr>
              <w:spacing w:after="0"/>
              <w:rPr>
                <w:sz w:val="7"/>
                <w:szCs w:val="7"/>
                <w:color w:val="auto"/>
              </w:rPr>
            </w:pPr>
          </w:p>
        </w:tc>
        <w:tc>
          <w:tcPr>
            <w:tcW w:w="1340" w:type="dxa"/>
            <w:vAlign w:val="bottom"/>
            <w:gridSpan w:val="2"/>
            <w:vMerge w:val="restart"/>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94"/>
        </w:trPr>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vMerge w:val="restart"/>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680" w:type="dxa"/>
            <w:vAlign w:val="bottom"/>
            <w:vMerge w:val="restart"/>
          </w:tcPr>
          <w:p>
            <w:pPr>
              <w:ind w:left="1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1"/>
                <w:szCs w:val="21"/>
                <w:b w:val="1"/>
                <w:bCs w:val="1"/>
                <w:color w:val="auto"/>
                <w:vertAlign w:val="superscript"/>
              </w:rPr>
              <w:t>(2)</w:t>
            </w:r>
          </w:p>
        </w:tc>
        <w:tc>
          <w:tcPr>
            <w:tcW w:w="26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or Programs </w:t>
            </w:r>
            <w:r>
              <w:rPr>
                <w:rFonts w:ascii="Times New Roman" w:cs="Times New Roman" w:eastAsia="Times New Roman" w:hAnsi="Times New Roman"/>
                <w:sz w:val="21"/>
                <w:szCs w:val="21"/>
                <w:b w:val="1"/>
                <w:bCs w:val="1"/>
                <w:color w:val="auto"/>
                <w:w w:val="99"/>
                <w:vertAlign w:val="superscript"/>
              </w:rPr>
              <w:t>(3)</w:t>
            </w: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 xml:space="preserve">Programs </w:t>
            </w:r>
            <w:r>
              <w:rPr>
                <w:rFonts w:ascii="Times New Roman" w:cs="Times New Roman" w:eastAsia="Times New Roman" w:hAnsi="Times New Roman"/>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1460" w:type="dxa"/>
            <w:vAlign w:val="bottom"/>
            <w:gridSpan w:val="2"/>
          </w:tcPr>
          <w:p>
            <w:pPr>
              <w:jc w:val="center"/>
              <w:ind w:left="48"/>
              <w:spacing w:after="0"/>
              <w:rPr>
                <w:sz w:val="20"/>
                <w:szCs w:val="20"/>
                <w:color w:val="auto"/>
              </w:rPr>
            </w:pPr>
            <w:r>
              <w:rPr>
                <w:rFonts w:ascii="Times New Roman" w:cs="Times New Roman" w:eastAsia="Times New Roman" w:hAnsi="Times New Roman"/>
                <w:sz w:val="11"/>
                <w:szCs w:val="11"/>
                <w:b w:val="1"/>
                <w:bCs w:val="1"/>
                <w:color w:val="auto"/>
              </w:rPr>
              <w:t>(1)</w:t>
            </w: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November 2 - November 29</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95,201</w:t>
            </w:r>
          </w:p>
        </w:tc>
        <w:tc>
          <w:tcPr>
            <w:tcW w:w="260" w:type="dxa"/>
            <w:vAlign w:val="bottom"/>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15.97</w:t>
            </w:r>
          </w:p>
        </w:tc>
        <w:tc>
          <w:tcPr>
            <w:tcW w:w="260" w:type="dxa"/>
            <w:vAlign w:val="bottom"/>
          </w:tcPr>
          <w:p>
            <w:pPr>
              <w:spacing w:after="0"/>
              <w:rPr>
                <w:sz w:val="15"/>
                <w:szCs w:val="15"/>
                <w:color w:val="auto"/>
              </w:rPr>
            </w:pPr>
          </w:p>
        </w:tc>
        <w:tc>
          <w:tcPr>
            <w:tcW w:w="132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95,201</w:t>
            </w:r>
          </w:p>
        </w:tc>
        <w:tc>
          <w:tcPr>
            <w:tcW w:w="240" w:type="dxa"/>
            <w:vAlign w:val="bottom"/>
          </w:tcPr>
          <w:p>
            <w:pPr>
              <w:spacing w:after="0"/>
              <w:rPr>
                <w:sz w:val="15"/>
                <w:szCs w:val="15"/>
                <w:color w:val="auto"/>
              </w:rPr>
            </w:pPr>
          </w:p>
        </w:tc>
        <w:tc>
          <w:tcPr>
            <w:tcW w:w="1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14,728</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November 30 - January 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87,069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87,069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January 4 - January 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2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following purchase.</w:t>
      </w:r>
    </w:p>
    <w:p>
      <w:pPr>
        <w:ind w:left="500" w:hanging="492"/>
        <w:spacing w:after="0" w:line="182" w:lineRule="auto"/>
        <w:tabs>
          <w:tab w:leader="none" w:pos="50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broker commissions and taxes.</w:t>
      </w:r>
    </w:p>
    <w:p>
      <w:pPr>
        <w:ind w:left="500" w:right="20" w:hanging="492"/>
        <w:spacing w:after="0" w:line="202" w:lineRule="auto"/>
        <w:tabs>
          <w:tab w:leader="none" w:pos="50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March 15, 2024, the Company announced that its Board of Directors authorized the Company to repurchase up to $25.0 million of the Company’s common stock through March 31, 2026 (the “2024 Share Repurchase Program”). The 2024 Share Repurchase Program may be suspended or discontinued at any time.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to stockholders on Lands’ End common stock from January 31, 2020 through January 31, 2025 with the return on the Nasdaq Composite Index and S&amp;P 600 Apparel Retail Index for the same period.</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graph assumes an initial investment of $100 on January 31, 2020 in each of our common stock, the Nasdaq Composite Index, and the S&amp;P 600 Apparel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45720</wp:posOffset>
            </wp:positionV>
            <wp:extent cx="4688840" cy="2254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8884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140" w:type="dxa"/>
        <w:tblCellMar>
          <w:top w:w="0" w:type="dxa"/>
          <w:left w:w="0" w:type="dxa"/>
          <w:bottom w:w="0" w:type="dxa"/>
          <w:right w:w="0" w:type="dxa"/>
        </w:tblCellMar>
      </w:tblPr>
      <w:tr>
        <w:trPr>
          <w:trHeight w:val="155"/>
        </w:trPr>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Lands’ End, Inc.</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1/31/2020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1/29/2021</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1/28/2022</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1/27/2023</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2/2/2024</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1/31/2025</w:t>
            </w:r>
          </w:p>
        </w:tc>
        <w:tc>
          <w:tcPr>
            <w:tcW w:w="0" w:type="dxa"/>
            <w:vAlign w:val="bottom"/>
          </w:tcPr>
          <w:p>
            <w:pPr>
              <w:spacing w:after="0"/>
              <w:rPr>
                <w:sz w:val="1"/>
                <w:szCs w:val="1"/>
                <w:color w:val="auto"/>
              </w:rPr>
            </w:pPr>
          </w:p>
        </w:tc>
      </w:tr>
      <w:tr>
        <w:trPr>
          <w:trHeight w:val="182"/>
        </w:trPr>
        <w:tc>
          <w:tcPr>
            <w:tcW w:w="2600" w:type="dxa"/>
            <w:vAlign w:val="bottom"/>
            <w:vMerge w:val="continue"/>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line="182"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S&amp;P 600 Apparel Retail Index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or incorporated by reference into any of our filings, as amended, with the SEC, except as shall be expressly set forth by specific reference in such filing.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We have not paid and we do not expect to pay in the foreseeable future, dividends on our common stock. Any payment of dividends will be at the discretion of our Board of Directors and will depend upon various factors then existing, including earnings, financial condition, results of operations, capital requirements, level of indebtedness, any contractual restrictions with respect to payment of dividends, restrictions imposed by applicable law, general business conditions and other factors that our Board of Directors may deem relevant. Additionally, the Debt Facilities contain various representations and warranties and restrictive covenants that, among other things, and subject to specified exceptions, restrict the ability of Lands’ End and its subsidiaries to make dividends or distributions with respect to capital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included elsewhere in this Annual Report on Form 10-K.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Concerning Forward-Looking Information” below and Item 1A, Risk Factors, in this Annual Report on Form 10-K for a discussion of the uncertainties, risks and assumptions associated with these statements.</w:t>
      </w:r>
    </w:p>
    <w:p>
      <w:pPr>
        <w:spacing w:after="0" w:line="74"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our results of operations for the year ended January 31, 2025 as compared to the year ended February 2, 2024. For a discussion and analysis of the year ended February 2, 2024 compared to January 27, 2023, please refer to “Management’s Discussion and Analysis of Financial Condition and Results of Operations” included in Item 7 of our Annual Report on Form 10-K for the year ended February 2, 2024, filed with the SEC on April 3, 2024.</w:t>
      </w:r>
    </w:p>
    <w:p>
      <w:pPr>
        <w:spacing w:after="0" w:line="72"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references to the “Company”, “Lands’ End”, “we”, “us”, “our” and similar terms refer to Lands’ End, Inc. and its subsidiaries. Our fiscal year ends on the Friday preceding the Saturday closest to January 31.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 xml:space="preserve">Lands’ End, Inc.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our own Company Operated stores and third-party license agreements. We also offer products to businesses and schools, for their employees and students, through the Outfitters distribution channel. We are a classic American lifestyle brand that creates solutions for life’s every journey.</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We identify our operating segments according to how our business activities are managed and evaluated. Following internal organizational changes and realignment of distribution channel responsibilities in Fourth Quarter 2024, our operating segments consisted of: U.S. eCommerce, Europe eCommerce, Outfitters, Third Party, Licensing and Retail. Beginning Fourth Quarter 2024, the Wholesale business is included in Licensing and prior periods were recast to reflect the change in operating segments for comparability purposes. During Fiscal 2022, the Company’s operating segments included Japan eCommerce.</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 xml:space="preserve">We have determined that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identify six separate distribution channels for revenue reporting purposes.</w:t>
      </w:r>
    </w:p>
    <w:p>
      <w:pPr>
        <w:spacing w:after="0" w:line="115"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Lands’ End trademark and any fulfillment fees for fulfillment services provided by the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our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our Debt Facilities are negatively affected by higher interest rate environments. Macroeconomic challenges may lead to increased cost of raw materials, packaging materials, labor, energy, fuel, debt and other inputs necessary for the production and distribution of our products. Moreover, uncertainty with respect to trade policy and tariffs, including increased tariffs applicable to countries where our vendors manufacture our product, may result in an increase in the cost of our products.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During Fiscal 2024 and Fiscal 2023, we reduced approximately 10% of our corporate office positions and incurred restructuring charges, primarily severance and benefit and other related costs. The reductions in the corporate office positions were made to better align with the evolving needs of the business and to invest in key growth areas. For the 52 and 53 weeks ended January 31, 2025 and February 2, 2024, we incurred restructuring charges, primarily severance and benefit costs, related to cost optimization of business operations and strategic initiatives of $5.6 million and $7.3 million, respectively, recorded in Other operating expense, net in the Consolidated Statement of Operations.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During Second Quarter 2022, the Board of Directors approved a plan to wind down and cease operations of Lands’ End Japan KK. Lands’ End Japan KK represents the Japan eCommerce operating segment. The final liquidation occurred in First Quarter 2024. We incurred no closing costs in Fiscal 2024 and approximately $0.3 million during Fiscal 2023, respectively, recorded in Other operating expense, net in the Consolidated Statements of Operations.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GAAP and include the accounts of Lands’ End, Inc. and its subsidiaries. All intercompany transactions and balances have been eliminated.</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yearly net revenue and earnings during our fourth fiscal quarter. We generated approximately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34.0% of our yearly net revenue in the fourth quarters of Fiscal 2024 and Fiscal 2023. Thus, lower than expected fourth quarter net revenue may have an adverse impact on our annual operating results.</w:t>
      </w:r>
    </w:p>
    <w:p>
      <w:pPr>
        <w:spacing w:after="0" w:line="54"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jc w:val="both"/>
        <w:ind w:firstLine="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Our fiscal year end is on the Friday preceding the Saturday closest to January 31 each year. The fiscal periods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follows, unless the context otherwise requires: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191"/>
        </w:trPr>
        <w:tc>
          <w:tcPr>
            <w:tcW w:w="3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16"/>
                <w:szCs w:val="16"/>
                <w:color w:val="auto"/>
              </w:rPr>
            </w:pPr>
          </w:p>
        </w:tc>
        <w:tc>
          <w:tcPr>
            <w:tcW w:w="3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31, 2025</w:t>
            </w:r>
          </w:p>
        </w:tc>
        <w:tc>
          <w:tcPr>
            <w:tcW w:w="220" w:type="dxa"/>
            <w:vAlign w:val="bottom"/>
          </w:tcPr>
          <w:p>
            <w:pPr>
              <w:spacing w:after="0"/>
              <w:rPr>
                <w:sz w:val="16"/>
                <w:szCs w:val="16"/>
                <w:color w:val="auto"/>
              </w:rPr>
            </w:pPr>
          </w:p>
        </w:tc>
        <w:tc>
          <w:tcPr>
            <w:tcW w:w="1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r>
      <w:tr>
        <w:trPr>
          <w:trHeight w:val="234"/>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2024</w:t>
            </w:r>
          </w:p>
        </w:tc>
        <w:tc>
          <w:tcPr>
            <w:tcW w:w="19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53</w:t>
            </w: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5"/>
                <w:szCs w:val="15"/>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w:t>
            </w:r>
          </w:p>
        </w:tc>
        <w:tc>
          <w:tcPr>
            <w:tcW w:w="9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w:t>
            </w: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1,362,935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1,472,508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w:t>
            </w:r>
          </w:p>
        </w:tc>
        <w:tc>
          <w:tcPr>
            <w:tcW w:w="280" w:type="dxa"/>
            <w:vAlign w:val="bottom"/>
          </w:tcPr>
          <w:p>
            <w:pPr>
              <w:spacing w:after="0"/>
              <w:rPr>
                <w:sz w:val="18"/>
                <w:szCs w:val="18"/>
                <w:color w:val="auto"/>
              </w:rPr>
            </w:pPr>
          </w:p>
        </w:tc>
        <w:tc>
          <w:tcPr>
            <w:tcW w:w="10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709,590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846,981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amortization)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6"/>
                <w:szCs w:val="16"/>
                <w:color w:val="auto"/>
              </w:rPr>
            </w:pPr>
          </w:p>
        </w:tc>
        <w:tc>
          <w:tcPr>
            <w:tcW w:w="100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653,345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625,527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561,804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550,211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6,812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Pr>
          <w:p>
            <w:pPr>
              <w:spacing w:after="0"/>
              <w:rPr>
                <w:sz w:val="16"/>
                <w:szCs w:val="16"/>
                <w:color w:val="auto"/>
              </w:rPr>
            </w:pPr>
          </w:p>
        </w:tc>
        <w:tc>
          <w:tcPr>
            <w:tcW w:w="100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50,957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(77,515 )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40,439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48,291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6"/>
                <w:szCs w:val="16"/>
                <w:color w:val="auto"/>
              </w:rPr>
            </w:pPr>
          </w:p>
        </w:tc>
        <w:tc>
          <w:tcPr>
            <w:tcW w:w="100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10,496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(131,817 )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Definitions, Reconciliations and Uses of Non-GAAP Financial Measures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spacing w:after="0" w:line="6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 parties as the sole basis for formulating investment decisions as these measures may exclude a number of important cash and non-cash recurring items.</w:t>
      </w:r>
    </w:p>
    <w:p>
      <w:pPr>
        <w:spacing w:after="0" w:line="72"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w:t>
      </w:r>
    </w:p>
    <w:p>
      <w:pPr>
        <w:spacing w:after="0" w:line="68" w:lineRule="exact"/>
        <w:rPr>
          <w:sz w:val="20"/>
          <w:szCs w:val="20"/>
          <w:color w:val="auto"/>
        </w:rPr>
      </w:pPr>
    </w:p>
    <w:p>
      <w:pPr>
        <w:ind w:left="100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 primarily severance and benefit costs for Fiscal 2024 and Fiscal 2023, respectively.</w:t>
      </w:r>
    </w:p>
    <w:p>
      <w:pPr>
        <w:spacing w:after="0" w:line="11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 charges associated with the non-cash write down of certain long-lived assets and goodwill for Fiscal 2024 and Fiscal 2023, respectively.</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2024 and Fiscal 2023, respectively,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 prepayment premium associated with the repayment of the Former Term Loan Facility before the scheduled maturity date and the write off of related unamortized original issue discount and debt issuance costs of the Former Term Loan Facility for Fiscal 2023.</w:t>
      </w:r>
    </w:p>
    <w:p>
      <w:pPr>
        <w:spacing w:after="0" w:line="67" w:lineRule="exact"/>
        <w:rPr>
          <w:rFonts w:ascii="Times New Roman" w:cs="Times New Roman" w:eastAsia="Times New Roman" w:hAnsi="Times New Roman"/>
          <w:sz w:val="18"/>
          <w:szCs w:val="18"/>
          <w:color w:val="auto"/>
        </w:rPr>
      </w:pPr>
    </w:p>
    <w:p>
      <w:pPr>
        <w:ind w:left="1500" w:right="1380" w:hanging="489"/>
        <w:spacing w:after="0" w:line="407"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loss on disposal of property and equipment – gain on sale of a building and excess land in Fiscal 2024. Lands’ End Japan closure – net operating income (loss) from liquidation and closing costs recorded for Fiscal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a reconciliation of Net income (loss) to Adjusted net income (loss) and Adjusted diluted net earnings (loss) per share:</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4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0" w:type="dxa"/>
            <w:vAlign w:val="bottom"/>
          </w:tcPr>
          <w:p>
            <w:pPr>
              <w:spacing w:after="0"/>
              <w:rPr>
                <w:sz w:val="1"/>
                <w:szCs w:val="1"/>
                <w:color w:val="auto"/>
              </w:rPr>
            </w:pPr>
          </w:p>
        </w:tc>
      </w:tr>
      <w:tr>
        <w:trPr>
          <w:trHeight w:val="191"/>
        </w:trPr>
        <w:tc>
          <w:tcPr>
            <w:tcW w:w="5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(130,684</w:t>
            </w: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Exit costs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6,666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Japan closure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(2,501 )</w:t>
            </w:r>
          </w:p>
        </w:tc>
        <w:tc>
          <w:tcPr>
            <w:tcW w:w="140" w:type="dxa"/>
            <w:vAlign w:val="bottom"/>
          </w:tcPr>
          <w:p>
            <w:pPr>
              <w:spacing w:after="0"/>
              <w:rPr>
                <w:sz w:val="17"/>
                <w:szCs w:val="17"/>
                <w:color w:val="auto"/>
              </w:rPr>
            </w:pPr>
          </w:p>
        </w:tc>
        <w:tc>
          <w:tcPr>
            <w:tcW w:w="120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59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(1,463 )</w:t>
            </w:r>
          </w:p>
        </w:tc>
        <w:tc>
          <w:tcPr>
            <w:tcW w:w="14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(3,834 )</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DILUTED NET EARNINGS (LOSS) PER SHARE</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31,664</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tax impact of adjustments is calculated at the applicable U.S. and non-U.S. Federal and State statutory rates.</w:t>
      </w:r>
    </w:p>
    <w:p>
      <w:pPr>
        <w:spacing w:after="0" w:line="2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While Adjusted EBITDA is a non-GAAP measurement, management believes that it is an important indicator of operating performance, and useful to investors because EBITDA excludes the effects of financings, investing activities and tax structure by eliminating the effects of interest, depreciation and income tax.</w:t>
      </w:r>
    </w:p>
    <w:p>
      <w:pPr>
        <w:spacing w:after="0" w:line="68" w:lineRule="exact"/>
        <w:rPr>
          <w:sz w:val="20"/>
          <w:szCs w:val="20"/>
          <w:color w:val="auto"/>
        </w:rPr>
      </w:pPr>
    </w:p>
    <w:p>
      <w:pPr>
        <w:ind w:left="1000" w:hanging="493"/>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 primarily severance and benefit costs for Fiscal 2024 and Fiscal 2023, respectively.</w:t>
      </w:r>
    </w:p>
    <w:p>
      <w:pPr>
        <w:spacing w:after="0" w:line="117" w:lineRule="exact"/>
        <w:rPr>
          <w:rFonts w:ascii="Times New Roman" w:cs="Times New Roman" w:eastAsia="Times New Roman" w:hAnsi="Times New Roman"/>
          <w:sz w:val="18"/>
          <w:szCs w:val="18"/>
          <w:color w:val="auto"/>
        </w:rPr>
      </w:pPr>
    </w:p>
    <w:p>
      <w:pPr>
        <w:ind w:left="1500" w:hanging="489"/>
        <w:spacing w:after="0" w:line="282"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long-lived asset impairment – charges associated with the non-cash write down of certain long-lived assets and goodwill in Fiscal 2024 and Fiscal 2023.</w:t>
      </w:r>
    </w:p>
    <w:p>
      <w:pPr>
        <w:spacing w:after="0" w:line="53" w:lineRule="exact"/>
        <w:rPr>
          <w:rFonts w:ascii="Times New Roman" w:cs="Times New Roman" w:eastAsia="Times New Roman" w:hAnsi="Times New Roman"/>
          <w:sz w:val="18"/>
          <w:szCs w:val="18"/>
          <w:color w:val="auto"/>
        </w:rPr>
      </w:pPr>
    </w:p>
    <w:p>
      <w:pPr>
        <w:jc w:val="both"/>
        <w:ind w:left="1500" w:hanging="489"/>
        <w:spacing w:after="0" w:line="266"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the kids and footwear lines of business including inventory excess and obsolescence reserves, inventory discounts and operational charges recorded in Fiscal 2024 and Fiscal 2023, respectively,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 End Japan closure – net operating income (loss) from liquidation and closing costs recorded in Fiscal 2023.</w:t>
      </w:r>
    </w:p>
    <w:p>
      <w:pPr>
        <w:spacing w:after="0" w:line="11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or loss on disposal of property and equipment – disposal of property and equipment in Fiscal 2024 and Fiscal 2023.</w:t>
      </w:r>
    </w:p>
    <w:p>
      <w:pPr>
        <w:spacing w:after="0" w:line="117" w:lineRule="exact"/>
        <w:rPr>
          <w:rFonts w:ascii="Times New Roman" w:cs="Times New Roman" w:eastAsia="Times New Roman" w:hAnsi="Times New Roman"/>
          <w:sz w:val="18"/>
          <w:szCs w:val="18"/>
          <w:color w:val="auto"/>
        </w:rPr>
      </w:pPr>
    </w:p>
    <w:p>
      <w:pPr>
        <w:ind w:left="1500" w:hanging="489"/>
        <w:spacing w:after="0"/>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amortization of transaction related costs associated with our Licensing distribution channel in Fiscal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both in dollars and as a percentage of Net revenue and a reconciliation of Net income (loss) to Adjusted EBITDA:</w:t>
      </w:r>
    </w:p>
    <w:p>
      <w:pPr>
        <w:spacing w:after="0" w:line="50"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480" w:type="dxa"/>
            <w:vAlign w:val="bottom"/>
            <w:tcBorders>
              <w:bottom w:val="single" w:sz="8" w:color="auto"/>
            </w:tcBorders>
          </w:tcPr>
          <w:p>
            <w:pPr>
              <w:spacing w:after="0"/>
              <w:rPr>
                <w:sz w:val="20"/>
                <w:szCs w:val="20"/>
                <w:color w:val="auto"/>
              </w:rPr>
            </w:pPr>
          </w:p>
        </w:tc>
        <w:tc>
          <w:tcPr>
            <w:tcW w:w="3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440" w:type="dxa"/>
            <w:vAlign w:val="bottom"/>
            <w:tcBorders>
              <w:bottom w:val="single" w:sz="8" w:color="auto"/>
            </w:tcBorders>
          </w:tcPr>
          <w:p>
            <w:pPr>
              <w:spacing w:after="0"/>
              <w:rPr>
                <w:sz w:val="20"/>
                <w:szCs w:val="2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1"/>
        </w:trPr>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6"/>
                <w:szCs w:val="16"/>
                <w:color w:val="auto"/>
              </w:rPr>
            </w:pPr>
          </w:p>
        </w:tc>
        <w:tc>
          <w:tcPr>
            <w:tcW w:w="2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0.5</w:t>
            </w:r>
          </w:p>
        </w:tc>
        <w:tc>
          <w:tcPr>
            <w:tcW w:w="34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(130,684 )</w:t>
            </w: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(1,133 )</w:t>
            </w: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0"/>
                <w:szCs w:val="20"/>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(655 )</w:t>
            </w:r>
          </w:p>
        </w:tc>
        <w:tc>
          <w:tcPr>
            <w:tcW w:w="4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50,957</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191"/>
        </w:trPr>
        <w:tc>
          <w:tcPr>
            <w:tcW w:w="4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33,772</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38,465</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80"/>
        </w:trPr>
        <w:tc>
          <w:tcPr>
            <w:tcW w:w="4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Exit costs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2"/>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0.1 %</w:t>
            </w:r>
          </w:p>
        </w:tc>
        <w:tc>
          <w:tcPr>
            <w:tcW w:w="180" w:type="dxa"/>
            <w:vAlign w:val="bottom"/>
          </w:tcPr>
          <w:p>
            <w:pPr>
              <w:spacing w:after="0"/>
              <w:rPr>
                <w:sz w:val="15"/>
                <w:szCs w:val="15"/>
                <w:color w:val="auto"/>
              </w:rPr>
            </w:pP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9,279</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Lands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End Japan closure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(215 )</w:t>
            </w:r>
          </w:p>
        </w:tc>
        <w:tc>
          <w:tcPr>
            <w:tcW w:w="4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(2,433 )</w:t>
            </w:r>
          </w:p>
        </w:tc>
        <w:tc>
          <w:tcPr>
            <w:tcW w:w="540" w:type="dxa"/>
            <w:vAlign w:val="bottom"/>
          </w:tcPr>
          <w:p>
            <w:pPr>
              <w:spacing w:after="0"/>
              <w:rPr>
                <w:sz w:val="18"/>
                <w:szCs w:val="18"/>
                <w:color w:val="auto"/>
              </w:rPr>
            </w:pP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92,599</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84,301</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In assessing the operational performance of our business, we consider a variety of financial measures. We operate in six separate distribution channels for revenue reporting purposes: U.S. eCommerce, Europe eCommerce, Outfitters, Third Party, Licensing and Retail. A key measure in the evaluation of our business is revenue performance by distribution channel as well as consolidated Gross margin. We manage and assess the performance of each of our operating segments using Variable profit, which is defined as Net revenue minus cost of sales and variable selling expenses. This segment measure excludes fixed personnel costs, incentive compensation, office occupancy, information technology, professional fees and depreciation and amortization.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information regarding Variable profit, which is a non-GAAP measure, as well as a reconciliation of Variable profit to Income (loss) before income taxes.</w:t>
      </w:r>
    </w:p>
    <w:p>
      <w:pPr>
        <w:spacing w:after="0" w:line="8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We use Net revenue to evaluate revenue performance for the U.S. eCommerce, Europe eCommerce, Outfitters, Third Party and Licensing distribution channels. We use GMV, which equals total order value of all Lands’ End branded merchandise sold to customers through business-to-consumer and business-to-business channels, as well as the retail value of the merchandise sold through third party distribution channels, as an important indicator of the performance of the comparable growth of the total brand. For our Retail distribution channel, we use Same Store Sales as a key measure in evaluating performance. A Company Operated store is included in U.S. Same Store Sales calculations when it has been open for at least 14 months. Online sales and sales generated through our in-store web portal are considered revenue in our U.S. eCommerce and are excluded from U.S. Same Store Sales.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Compared to Fiscal 2023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Merchandise Value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Gross Merchandise Value (“GMV”) increased low-single digits compared to Fiscal 2023. Excluding the 53rd week of Fiscal 2023, GMV increased mid-single digits.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Total Net revenue was $1.36 billion in Fiscal 2024, a decrease of $109.6 million or 7.4% from $1.47 billion in Fiscal 2023. The decrease in Net revenue was driven by the transition of the kids and footwear product lines to licensing arrangements and optimizing promotional activity as we focused on higher quality sales resulting in higher gross margins and increased gross profit. Excluding the net impact of transitioning kids and footwear product lines to licensing arrangements of $96.6 million, the $31.2 million inventory buyout by a corporate client at the end of its contract in Fiscal 2023 and the impact of the 53rd week in Fiscal 2023 of $16.2 million, total Net revenue increased $34.5 million or 2.6% compared to Fiscal 2023.</w:t>
      </w:r>
    </w:p>
    <w:p>
      <w:pPr>
        <w:spacing w:after="0" w:line="7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U.S. Digital Segment Net revenue was $1.15 billion in Fiscal 2024, a decrease of $138.6 million or 10.7% from $1.29 billion in Fiscal 2023. Excluding the net impact of the licensing transition, the inventory buyout and the 53rd week, U.S. Digital Segment Net revenue increased $3.7 million or 0.3% compared to Fiscal 2023.</w:t>
      </w:r>
    </w:p>
    <w:p>
      <w:pPr>
        <w:spacing w:after="0" w:line="68"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U.S. eCommerce Net revenue decreased 9.4%, driven by the transition of kids and footwear products from a direct to a license model, continued promotional productivity within swimwear, outerwear and newness in adjacent product categories and improved inventory management resulting in higher margins with lower clearance inventory sales. Excluding the net impact of the licensing transition and the 53rd week, U.S. eCommerce Net revenue increased 2.3% compared to Fiscal 2023.</w:t>
      </w:r>
    </w:p>
    <w:p>
      <w:pPr>
        <w:spacing w:after="0" w:line="72"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Outfitters Net revenue decreased 15.5%, primarily driven by inventory sales to a corporate client at the conclusion of their contract in the First Quarter 2023. Excluding the inventory buyout and the 53rd week, Outfitters Net revenue decreased 2.9% compared to Fiscal 2023.</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Third Party Net revenue decreased 10.1%, primarily driven by continued promotional productivity with curated assortments and improved inventory management resulting in higher gross margins. Excluding the impact of the 53rd week, Third Party Net revenue decreased 8.7% compared to Fiscal 2023.</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Europe eCommerce Net revenue was $103.1 million in Fiscal 2024, a decrease of $9.8 million or 8.7% from $112.9 million in Fiscal 2023. The decrease in Europe eCommerce Net revenue was primarily driven by the continued focus on gross margin improvement through higher gross profit sales as well as a decrease in markdown and clearance sales.</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Licensing and Retail Net revenue was $105.4 million in Fiscal 2024, an increase of $38.9 million or 58.5% from $66.5 million in Fiscal 2023, primarily driven by revenue from licensing arrangements including Lands’ End produced inventory sold to a licensee in First Quarter 2024 in connection with the transition of kids’ products from a direct to a license model. Our U.S. Company Operated Stores experienced an increase of 3.0% in Same Store Sales as compared to Fiscal 2023. On January 31, 2025, there were 23 U.S. Company Operated stores included in Same Store Sales compared to 26 U.S. Company Operated stores on February 2, 2024.</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2024, total Gross profit increased 4.4% to $653.3 million compared to $625.5 million for Fiscal 2023. Gross margin increased 550 basis points to 47.9% in Fiscal 2024 compared to 42.5% in Fiscal 2023. The improvement in Gross margin was primarily driven by leveraging the strength in the swimwear, outerwear and newness in adjacent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categories across the channels, lower promotional activity and improvements in both inventory management and supply chain costs for Fiscal 2024 compared to Fiscal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$561.8 million, or 41.2% of total Net revenue in Fiscal 2024, compared to $550.2 million, or 37.4% of total Net revenue in Fiscal 2023. The approximately 380 basis points increase was driven by deleveraging from lower revenues, higher digital marketing spend focused on new customer acquisition and third party professional services.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and amortization were $33.8 million in Fiscal 2024, a decrease of $4.7 million or 12.2%, compared to $38.5 million in Fiscal 2023. The decrease in depreciation and amortization is primarily driven by lower software depreciation in Fiscal 2024 as a result of major projects becoming fully depreciated.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operating expense, net was $6.8 million in Fiscal 2024 compared to $7.7 million in Fiscal 2023.</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Operating income was $51.0 million in Fiscal 2024, compared to Operating loss of $77.5 million in Fiscal 2023. The increase of $128.5 million was primarily attributed to the $106.7 million non-cash goodwill impairment charge recorded in Third Quarter 2023.</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Interest expense was $40.4 million in Fiscal 2024, compared to $48.3 million in Fiscal 2023. The $7.9 million decrease was primarily driven by lower ABL Facility interest related to lower average outstanding balances and lower amortization of debt issuance costs and lower applicable interest rates on the Current Term Loan Facility.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There was no loss on extinguishment of debt in Fiscal 2024, compared to $6.7 million in Fiscal 2023. We incurred a 1% prepayment premium and recorded the write-off of unamortized original issue discount and debt issuance costs related to the repayment of our Former Term Loan Facility before the scheduled maturity date in Fiscal 2023.</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expense was insignificant in Fiscal 2024 compared to other income of $0.7 million in Fiscal 2023.</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Income tax expense of $4.3 million was recorded for Fiscal 2024 which resulted in an effective tax rate of 40.6%. This compared to Income tax benefit of $1.1 million in Fiscal 2023 which resulted in an effective tax rate of 0.9%. The Fiscal 2024 tax rate was higher than Fiscal 2023 primarily due to an impairment of goodwill recorded in Fiscal 2023 that was not deductible for tax purposes and as a result of pretax income in Fiscal 2024 compared to a pretax loss in Fiscal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Net income was $6.2 million, or diluted earnings per share of $0.20 in Fiscal 2024 compared to Net loss of $130.7 million, or diluted loss per share of $4.09 in Fiscal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above factors, Adjusted net income was $12.6 million and Adjusted diluted earnings per share was $0.40 in Fiscal 2024 compared to Adjusted net loss of $4.8 million and Adjusted diluted net loss per share of $0.15 in Fiscal 2023, representing an increase of $17.4 million, or $0.55 per diluted share.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above factors, Adjusted EBITDA was $92.6 million in Fiscal 2024, compared to $84.3 million in Fiscal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Digital Segment Results of Operations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Variable Profit</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U.S. Digital Segment Variable profit was $265.4 million in Fiscal 2024, a decrease of $0.5 million compared to $265.9 million in Fiscal 2023. U.S. Digital Segment Variable profit was 23.0% of Net revenue in Fiscal 2024, which is an increase of 240 basis points compared to 20.6% of Net revenue in Fiscal 2023. The increase in Variable profit as a percentage of Net revenue was driven by continued promotional activity, supply chain improvements in Product and Shipping cost of goods sold partially offset by an increase in Marketing expenses.</w:t>
      </w:r>
    </w:p>
    <w:p>
      <w:pPr>
        <w:spacing w:after="0" w:line="72"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Product cost of goods sold was $444.1 million or 38.5% of Net revenue in Fiscal 2024 compared to $553.2 million or 42.8% of Net revenue in Fiscal 2023. Shipping cost of goods sold was $157.6 million or 13.6% of Net revenue in Fiscal 2024 compared to $190.1 million or 14.7% of Net revenue in Fiscal 2023. The improvement in Product and Shipping cost of goods sold as a percent of Net revenue was primarily due to improvements in both inventory management and supply chain costs for Fiscal 2024 compared to Fiscal 2023. Marketing expenses were $179.5 million or 15.5% of Net revenue in Fiscal 2024 compared to $174.7 million or 13.5% of Net revenue in Fiscal 2023. The increase in Marketing expenses was primarily due to higher digital spend focused on new customer acquisition.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Digital Segment Fiscal 2023 Compared to Fiscal 2022</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U.S. Digital Segment Net revenue was $1.29 billion in Fiscal 2023, a decrease of $15.6 million or 1.2% from $1.31 billion in Fiscal 2022. U.S. eCommerce Net revenue decreased by 2.7%, primarily driven by promotional productivity in key product solutions and adjacent product categories with improved inventory management resulting in higher margins with lower clearance inventory sales. Outfitters Net revenue increased 1.5%. Third Party Net revenue increased 6.6%, primarily driven by growth in online sales through existing marketplaces.</w:t>
      </w:r>
    </w:p>
    <w:p>
      <w:pPr>
        <w:spacing w:after="0" w:line="72"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U.S. Digital Segment Variable profit was $265.9 million in Fiscal 2023, an increase of $31.3 million compared to $234.6 million in Fiscal 2023. U.S. Digital Segment Variable profit was 20.6% of Net revenue in Fiscal 2023, which was an increase of 270 basis points compared to 17.9% of Net revenue in Fiscal 2022. The increase in Variable profit as a percentage of Net revenue was driven by continued promotional productivity, supply chain improvements in Product and Shipping cost of goods sold partially offset by an increase in Marketing expenses.</w:t>
      </w:r>
    </w:p>
    <w:p>
      <w:pPr>
        <w:spacing w:after="0" w:line="72"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Product cost of goods sold was $553.2 million or 42.8% of Net revenue in Fiscal 2023 compared to $590.1 million or 45.1% of Net revenue in Fiscal 2022. Shipping cost of goods sold was $190.1 million or 14.7% of Net revenue in Fiscal 2023 compared to $213.8 million or 16.3% of Net revenue in Fiscal 2022. The improvement in Product and Shipping cost of goods sold as a percent of Net revenue was primarily driven by leveraging the strength in product solutions and newness across the channels, reduction in clearance inventory and improvements in supply chain costs for Fiscal 2023 compared to Fiscal 2022. Marketing expenses were $174.7 million or 13.5% of Net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in Fiscal 2023 compared to $167.4 million or 12.8% of Net revenue in Fiscal 2022. The increase in Marketing expenses was primarily due to higher digital spend focused on new customer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capital expenditures, debt service and for general corporate purposes. Our cash and cash equivalents and the ABL Facility serve as sources of liquidity for short-term working capital needs and general corporate purposes. The ABL Facility had no balance outstanding as of January 31, 2025,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Our $275.0 million committed revolving ABL Facility includes a $70.0 million sublimit for letters of credit and is available for working capital and other general corporate liquidity needs and matures on July 29, 2026. The amount available to borrow is the lesser of (1) the Aggregate Commitments of $275.0 million (“ABL Facility Limit”) or (2) the Borrowing Base or Loan Cap which is calculated from Eligible Inventory, Trade Receivables and Credit Card Receivables, all foregoing capitalized terms not defined herein are as defined in the ABL Facility.</w:t>
      </w:r>
    </w:p>
    <w:p>
      <w:pPr>
        <w:spacing w:after="0" w:line="72"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Effective with the Fourth Amendment to the ABL Facility executed May 12, 2023, the benchmark interest rate was changed from LIBOR to SOFR plus an adjustment of 0.10% for all loans (“ABL Adjusted SOFR”). Loan interest rates are selected at the borrower’s election, is either (1) ABL Adjusted SOFR, or (2) a base rate which is the greater of (a) the federal funds rate plus 0.50%, (b) the one-month ABL Adjusted SOFR rate plus 1.00%, or (c) the Wells Fargo “prime rate.” The borrowing margin for ABL Adjusted SOFR loans is (i) less than $95.0 million, 1.25%, (ii) equal to or greater than $95.0 million but less than $180.0 million, 1.50%, and (iii) greater than or equal to $180.0 million, 1.75%. For base rate loans, the borrowing margin is (i) less than $95.0 million, 0.50%, (ii) equal to or greater than $95.0 million but less than $180.0 million, 0.75%, and (iii) greater than or equal to $180.0 million, 1.00% (“Applicable Borrowing Margin”). The Applicable Borrowing Margin for all loans is based upon the average daily total loans outstanding for the previous quarter. The Fourth Amendment had no material interest rate impact.</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(ii) customary letter of credit fees and (iii) customary annual agent fees.</w:t>
      </w:r>
    </w:p>
    <w:p>
      <w:pPr>
        <w:spacing w:after="0" w:line="6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There was no balance outstanding under the ABL Facility as of January 31, 2025 and February 2, 2024. The balance of outstanding letters of credit was $10.1 million and $9.1 million as of January 31, 2025 and February 2, 2024, respectively. The borrowing availability under the ABL Facility was $129.3 million and $167.2 million as of January 31, 2025 and February 2, 2024, respectively</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On December 29, 2023, we entered into the Current Term Loan Facility which provides borrowings of $260.0 million, the proceeds of which were used to repay all of the indebtedness under the Former Term Loan Facility and to pay fees and expenses in connection with the financing. Origination costs, including a 3% original issue discount of $7.8 million and debt origination fees of $3.8 million, were incurred in connection with entering into the Current Term Loan Facility.</w:t>
      </w:r>
    </w:p>
    <w:p>
      <w:pPr>
        <w:spacing w:after="0" w:line="7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The Current Term Loan Facility will mature on December 29, 2028, and amortizes at a rate equal to 1.25% per quarter. Depending upon the Company’s Total Leverage Ratio, as defined in the Current Term Loan Facility,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mandatory prepayments in an amount equal to a percentage of the Company’s excess cash flows in each fiscal year, ranging from 0% to 75% are required. The Current Term Loan Facility also has typical prepayment requirements for the proceeds of certain asset sales, casualty events and extraordinary receipts. Voluntary prepayment and certain mandatory prepayments made (i) between December 30, 2024 and December 29, 2025 would result in a prepayment premium equal to 2% of the principal amount of the loan prepaid, (ii) between December 30, 2025 and December 29, 2026, would result in a prepayment premium equal to 1% of the principal amount of the loan prepaid, (iii) between December 30, 2026 and December 29, 2027, would result in a prepayment premium equal to 0.5% of the principal amount of the loan prepaid and (iv) thereafter no prepayment premium is due.</w:t>
      </w:r>
    </w:p>
    <w:p>
      <w:pPr>
        <w:spacing w:after="0" w:line="7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Current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 the total leverage ratio is less than 2.25:1.00. In each case, the net leverage is determined as of the last day of each applicable measurement period.</w:t>
      </w:r>
    </w:p>
    <w:p>
      <w:pPr>
        <w:spacing w:after="0" w:line="8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with the First Amendment to the Former Term Loan Facility executed June 22, 2023, the interest rate benchmark changed from LIBOR to Term Loan Adjusted SOFR. The annual interest rate applicable to the loans under the Former Term Loan Facility was based on a fluctuating rate of interest measured by reference to, at the borrower’s election, either (1) a Term Loan Adjusted SOFR rate plus 9.75% or (2) an alternative base rate (which was the greater of (i) the prime rate published in the Wall Street Journal, (ii) the federal funds rate, which was to be no lower than 0.00% plus ½ of 1.00%, or (iii) the one month Term Loan Adjusted SOFR rate plus 1.00% per annum) plus 8.75%.</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Both the Current Term Loan Facility and the Former Term Loan Facility contain customary agency fees.</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Debt Facilities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Guarantees; Security</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Current Term Loan Facility is also secured by a second priority security interest in the same collateral, with certain exceptions.</w:t>
      </w:r>
    </w:p>
    <w:p>
      <w:pPr>
        <w:spacing w:after="0" w:line="72"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Current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 (including guarantees), grant liens, make investments, make dividends or distributions with respect to capital stock, make prepayments on other indebtedness, engage in mergers or change the nature of their business.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Current Term Loan Facility contains financial covenants, including a quarterly maximum total leverage ratio test and a monthly minimum liquidity test.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the Company will be required to comply with a minimum fixed charge coverage ratio of 1.0 to 1.0.</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31, 2025, we were in compliance with our financial covenants in the Debt Facilities.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119"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Operating activities generated net cash of $53.1 million and $130.6 million in Fiscal 2024 and Fiscal 2023, respectively. In Fiscal 2024, net cash generated by operating activities decreased $77.5 million compared to Fiscal 2023 due to changes in working capital, primarily the reduction of cash used for inventories during Fiscal 2023.</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$35.0 million and $34.9 million during Fiscal 2024 and Fiscal 2023, respectively. Cash used in investing activities for both years was primarily used for investments to update our digital information technology infrastructure.</w:t>
      </w:r>
    </w:p>
    <w:p>
      <w:pPr>
        <w:spacing w:after="0" w:line="5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For Fiscal 2025, we plan to invest approximately $30.0 million in capital expenditures for strategic investments and infrastructure, primarily in technology and general corporate needs.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$26.6 million and $110.1 million during Fiscal 2024 and Fiscal 2023, respectively. The decrease in net cash used in financing activities is primarily due to lower inventory levels.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material off-balance-sheet arrangements other than the guarantees and contractual obligations that are discussed below.</w:t>
      </w:r>
    </w:p>
    <w:p>
      <w:pPr>
        <w:spacing w:after="0" w:line="117"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Information concerning our obligations and commitments to make future payments under contracts such as lease agreements and other contingent commitments, as of January 31, 2025, is aggregated in the following table:</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17"/>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1 Year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right"/>
              <w:ind w:right="396"/>
              <w:spacing w:after="0" w:line="118" w:lineRule="exact"/>
              <w:rPr>
                <w:sz w:val="20"/>
                <w:szCs w:val="20"/>
                <w:color w:val="auto"/>
              </w:rPr>
            </w:pPr>
            <w:r>
              <w:rPr>
                <w:rFonts w:ascii="Times New Roman" w:cs="Times New Roman" w:eastAsia="Times New Roman" w:hAnsi="Times New Roman"/>
                <w:sz w:val="13"/>
                <w:szCs w:val="13"/>
                <w:b w:val="1"/>
                <w:bCs w:val="1"/>
                <w:color w:val="auto"/>
              </w:rPr>
              <w:t>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436"/>
              <w:spacing w:after="0" w:line="118" w:lineRule="exact"/>
              <w:rPr>
                <w:sz w:val="20"/>
                <w:szCs w:val="20"/>
                <w:color w:val="auto"/>
              </w:rPr>
            </w:pPr>
            <w:r>
              <w:rPr>
                <w:rFonts w:ascii="Times New Roman" w:cs="Times New Roman" w:eastAsia="Times New Roman" w:hAnsi="Times New Roman"/>
                <w:sz w:val="13"/>
                <w:szCs w:val="13"/>
                <w:b w:val="1"/>
                <w:bCs w:val="1"/>
                <w:color w:val="auto"/>
              </w:rPr>
              <w:t>4-5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After 5</w:t>
            </w:r>
          </w:p>
        </w:tc>
      </w:tr>
      <w:tr>
        <w:trPr>
          <w:trHeight w:val="167"/>
        </w:trPr>
        <w:tc>
          <w:tcPr>
            <w:tcW w:w="298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4"/>
                <w:szCs w:val="14"/>
                <w:color w:val="auto"/>
              </w:rPr>
            </w:pPr>
          </w:p>
        </w:tc>
        <w:tc>
          <w:tcPr>
            <w:tcW w:w="940" w:type="dxa"/>
            <w:vAlign w:val="bottom"/>
          </w:tcPr>
          <w:p>
            <w:pPr>
              <w:jc w:val="right"/>
              <w:ind w:right="373"/>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57"/>
              <w:spacing w:after="0" w:line="160" w:lineRule="exact"/>
              <w:rPr>
                <w:sz w:val="20"/>
                <w:szCs w:val="20"/>
                <w:color w:val="auto"/>
              </w:rPr>
            </w:pPr>
            <w:r>
              <w:rPr>
                <w:rFonts w:ascii="Times New Roman" w:cs="Times New Roman" w:eastAsia="Times New Roman" w:hAnsi="Times New Roman"/>
                <w:sz w:val="14"/>
                <w:szCs w:val="14"/>
                <w:b w:val="1"/>
                <w:bCs w:val="1"/>
                <w:color w:val="auto"/>
              </w:rPr>
              <w:t>or less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4"/>
                <w:szCs w:val="14"/>
                <w:color w:val="auto"/>
              </w:rPr>
            </w:pPr>
          </w:p>
        </w:tc>
        <w:tc>
          <w:tcPr>
            <w:tcW w:w="920" w:type="dxa"/>
            <w:vAlign w:val="bottom"/>
          </w:tcPr>
          <w:p>
            <w:pPr>
              <w:jc w:val="right"/>
              <w:ind w:right="356"/>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96"/>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Operating leases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13"/>
              <w:spacing w:after="0" w:line="198" w:lineRule="exact"/>
              <w:rPr>
                <w:sz w:val="20"/>
                <w:szCs w:val="20"/>
                <w:color w:val="auto"/>
              </w:rPr>
            </w:pPr>
            <w:r>
              <w:rPr>
                <w:rFonts w:ascii="Times New Roman" w:cs="Times New Roman" w:eastAsia="Times New Roman" w:hAnsi="Times New Roman"/>
                <w:sz w:val="18"/>
                <w:szCs w:val="18"/>
                <w:color w:val="auto"/>
              </w:rPr>
              <w:t>29,083</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7"/>
              <w:spacing w:after="0" w:line="198" w:lineRule="exact"/>
              <w:rPr>
                <w:sz w:val="20"/>
                <w:szCs w:val="20"/>
                <w:color w:val="auto"/>
              </w:rPr>
            </w:pPr>
            <w:r>
              <w:rPr>
                <w:rFonts w:ascii="Times New Roman" w:cs="Times New Roman" w:eastAsia="Times New Roman" w:hAnsi="Times New Roman"/>
                <w:sz w:val="18"/>
                <w:szCs w:val="18"/>
                <w:color w:val="auto"/>
              </w:rPr>
              <w:t>6,006</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11,387</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8,396</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3,294</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247,000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208,000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Term Loan Facility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29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and ABL Facility fees</w:t>
            </w:r>
          </w:p>
        </w:tc>
        <w:tc>
          <w:tcPr>
            <w:tcW w:w="220" w:type="dxa"/>
            <w:vAlign w:val="bottom"/>
          </w:tcPr>
          <w:p>
            <w:pPr>
              <w:spacing w:after="0"/>
              <w:rPr>
                <w:sz w:val="17"/>
                <w:szCs w:val="17"/>
                <w:color w:val="auto"/>
              </w:rPr>
            </w:pPr>
          </w:p>
        </w:tc>
        <w:tc>
          <w:tcPr>
            <w:tcW w:w="94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112,919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31,794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57,072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24,053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54"/>
        </w:trPr>
        <w:tc>
          <w:tcPr>
            <w:tcW w:w="29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126,507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126,507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515,509</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177,307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94,459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240,449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3,294</w:t>
            </w: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ind w:left="500" w:hanging="492"/>
        <w:spacing w:after="0" w:line="232" w:lineRule="auto"/>
        <w:tabs>
          <w:tab w:leader="none" w:pos="5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 xml:space="preserve">Operating lease obligations consist primarily of future minimum lease commitments related to our operating leases (refer to Note 4,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of the Consolidated Financial Statements for further details).</w:t>
      </w:r>
    </w:p>
    <w:p>
      <w:pPr>
        <w:ind w:left="500" w:hanging="492"/>
        <w:spacing w:after="0" w:line="184" w:lineRule="auto"/>
        <w:tabs>
          <w:tab w:leader="none" w:pos="500" w:val="left"/>
        </w:tabs>
        <w:numPr>
          <w:ilvl w:val="0"/>
          <w:numId w:val="2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Purchase obligations primarily represent open purchase orders for inventory.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$275.0 million committed revolving ABL Facility includes a $70.0 million sublimit for letters of credit and has a maturity date of July 29, 2026. The ABL Facility is available for working capital and other general corporate liquidity needs. There was no balance outstanding as of January 31, 2025 and February 2, 2024. The balance of outstanding letters of credit was $10.8 million and $9.1 million as of January 31, 2025 and February 2,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Estimates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management to make estimates and judgments that affect amounts reported in the Consolidated Financial Statements and accompanying notes. While our estimates and assumptions are based on our knowledge of current events and actions we may undertake in the future, actual results may ultimately differ from our estimates and assumptions. Our estimation processes contain uncertainties because they require management to make assumptions and apply judgment to make these estimates. Should actual results be different than our estimates, we could be exposed to gains or losses from differences that may be material.</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Our inventories consist of merchandise purchased for resale and are recorded at the lower of cost or net realizable value. The nature of our business requires that we make a significant amount of our merchandising decisions and corresponding inventory purchase commitments with vendors several months in advance of the time in which a particular merchandise item is intended to be included in the merchandise offerings. These decisions and commitments are based upon, among other possible considerations, historical sales with identical or similar merchandise, our understanding of then-prevailing trends and influences, and an assessment of likely economic conditions and various competitive factors.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For financial reporting and tax purposes, our United States inventory, primarily merchandise held for sale, is stated at last-in, first-out (“LIFO”) cost, which is adjusted to the lower of cost or market. We account for our non-United States inventory on the first-in, first-out (“FIFO”) method. The United States inventory accounted for using the LIFO method as of percentage of the total inventory was 93% at January 31, 2025 and February 2, 2024.</w:t>
      </w:r>
    </w:p>
    <w:p>
      <w:pPr>
        <w:spacing w:after="0" w:line="68"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We continually make assessments as to whether the carrying cost of inventory exceeds its market value and, if so, by what dollar amount. Excess inventories may be disposed of through our normal course of business. Based on historical results experienced through various methods of disposition, we will write down the carrying value of inventories that are not expected to be sold at or above cost. The excess and obsolete reserve balances were $11.7 million and $18.1 million as of January 31, 2025, and February 2, 2024, respectively. The decrease in the excess and obsolete reserve balance is primarily due to reduction in kids and footwear inventory in conjunction with our licensing arrangements. For the inventory marked down to net realizable value, a one percentage point increase in our assumed recovery rates at January 31, 2025, would have had an immaterial impact on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 Assessments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Goodwill and the indefinite-lived trade name intangible asset are tested separately for impairment on an annual basis or whenever events or changes in circumstances indicate that the carrying amount may not be recoverable. Impairment assessments contain multiple uncertainties because the calculation requires management to make assumptions and to apply judgment to estimate future cash flows and asset fair values. If actual results fall short of our estimates and assumptions used in estimating future cash flows and asset fair values, we may incur future impairment charges that could be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In Fiscal 2023, in connection with the preparation of the financial statements for the quarter ended October 27, 2023, we considered the decline in our stock price and market capitalization, as well as the then current market and macroeconomic conditions, to be a triggering event for the U.S. eCommerce and Outfitters reporting units and therefore completed an interim test for impairment of goodwill for these reporting units as of October 27, 2023. We tested goodwill for impairment using a one-step quantitative test. The quantitative test compared the reporting unit’s fair value to its carrying value. An impairment was recorded for any excess carrying value above the reporting unit’s fair value, not to exceed the amount of goodwill. We estimated fair value of its reporting units using a discounted cash flow model, commonly referred to as the income approach. The income approach used a reporting unit’s projection of estimated operating results and cash flows that was discounted using a weighted-average cost of capital that reflected then current market conditions appropriate to our reporting unit. The discounted cash flow model used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included terminal value growth rates, weighted average cost of capital and changes in future working capital requirements.</w:t>
      </w:r>
    </w:p>
    <w:p>
      <w:pPr>
        <w:spacing w:after="0" w:line="8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testing resulted in goodwill impairment of the remaining $70.4 million and $36.3 million of goodwill allocated to our U.S. eCommerce and Outfitters reporting units, respectively.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impairment assessments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Our indefinite-lived intangible asset is the Lands’ End trade name. We review the trade name for impairment on an annual basis or whenever events or changes in circumstances indicate the carrying value may not be recoverable. The fair value of the trade name indefinite-lived intangible asset is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We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 Fiscal 2024, Fiscal 2023 and Fiscal 2022, we tested the indefinite-lived intangible asset for impairment. In Fiscal 2024, the fair value was substantially in excess of the carrying value. In Fiscal 2023 and Fiscal 2022, fair value exceeded the carrying value by less than 15%. As such, no trade name impairment charges were recorded in any of the periods presented.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While revenue recognition for us does not involve significant judgment, it represents an important accounting policy. For sales shipped from our distribution centers, we recognize revenue and the related cost of goods sold at the time the products are received by the customers. For sales transacted at stores, revenue is recognized when the customer receives and pays for the merchandise at the register.</w:t>
      </w:r>
    </w:p>
    <w:p>
      <w:pPr>
        <w:spacing w:after="0" w:line="68"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We record an allowance for estimated returns based on our historical return patterns and various other assumptions that management believes to be reasonable. We do not believe there is a reasonable likelihood that there will be a material change in the future estimates or assumptions we use to calculate our sales return allowance. A one percentage point increase in our assumed returns rate at January 31, 2025 would have an immaterial impact on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We have not made any material changes in the accounting methodology used to estimate future sales returns in the past three fiscal years.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when it is more likely than not that some portion or all of such deferred tax assets will not be realized. In determining the need for a valuation allowance, management is required to make assumptions and to apply judgment, including forecasting future income, taxable income and the mix of income or losses in the jurisdictions in which we operate. Our effective tax rate in a given financial statement period may also be materially impacted by changes in the mix and level of income or losses, changes in the expected outcome of audits, or changes in the deferred tax valuation allowance.</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At any point in time, many tax years are subject to or in the process of being audited by various taxing authorities. To the extent our estimates of settlements change, or the final tax outcome of these matters is different from the amounts recorded, such differences will impact the income tax provision in the period in which such determinations are made. Our income tax expense includes changes in our estimated liability for exposures associated with our various tax filing positions. Determining the income tax expense for these potential assessments requires management to make assumptions that are subject to factors such as proposed assessments by tax authorities, changes in facts and circumstances, issuance of new regulations, and resolution of tax audits. We performed an evaluation over our deferred tax assets and determined that a valuation allowance is considered necessary.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on the valuation allowance.</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We believe the judgments and estimates discussed above are reasonable. However, if actual results fall short of our estimates or assumptions, we may be exposed to losses or gains that could be material.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 xml:space="preserve">This document contains forward-looking statements. Forward-looking statements reflect our current views with respect to, among other things, future events and performance. These statements may discuss, among other things, our net sales, gross merchandise value (GMV), gross margin, operating expenses, operating income, net income, adjusted net income, Adjusted EBITDA, cash flow, financial condition, financings, impairments, expenditures, growth, strategies, plans, achievements, dividends, capital structure, organizational structure, future store openings, market opportunities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set forth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3880"/>
        <w:spacing w:after="0" w:line="378"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Currency Exchange Risk</w:t>
      </w: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The Company’s international subsidiaries operate with functional currencies other than the U.S. dollar. Since the Company’s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International distribution channel represented 8% of our total net revenue in Fiscal 2024. The fluctuation in the value of the U.S. dollar against other currencies affects the reported amounts of net revenues, expenses, assets and liabilities. Assuming a 10% change in foreign currency exchange rates, Fiscal 2024 net revenue would have increased or decreased by approximately $10.3 million. Translation gains or losses, which are recorded in other comprehensive income or loss, result from translation of the assets and liabilities of our international subsidiaries into U.S. dollars. Foreign currency translation losses, net, for Fiscal 2024 totaled approximately $0.4 million related to our international subsidiaries in United Kingdom, Germany and Japan.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have not used any derivative financial instruments to limit foreign currency exchange rate exposures. The Company does not consider our foreign earnings to be permanently reinvested.</w:t>
      </w:r>
    </w:p>
    <w:p>
      <w:pPr>
        <w:spacing w:after="0" w:line="82"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As of January 31, 2025, the Company had $8.7 million of cash and cash equivalents denominated in foreign currency, principally in British pound sterling, euro and Hong Kong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is subject to interest rate risk with the Current Term Loan Facility and the ABL Facility, as both require the Company to pay interest on outstanding borrowings at variable rates. Each one percentage point change in interest rates (above the 2% SOFR floor) associated with the Current Term Loan Facility would result in a $2.5 million change in our annual cash interest expenses. Assuming our ABL Facility was fully drawn to a principal amount equal to $275.0 million, each one percentage point change in interest rates would result in a $2.8 million change in our annual cash interest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930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r>
      <w:tr>
        <w:trPr>
          <w:trHeight w:val="453"/>
        </w:trPr>
        <w:tc>
          <w:tcPr>
            <w:tcW w:w="106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4"/>
                <w:szCs w:val="24"/>
                <w:color w:val="auto"/>
              </w:rPr>
            </w:pPr>
          </w:p>
        </w:tc>
      </w:tr>
      <w:tr>
        <w:trPr>
          <w:trHeight w:val="459"/>
        </w:trPr>
        <w:tc>
          <w:tcPr>
            <w:tcW w:w="42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6360" w:type="dxa"/>
            <w:vAlign w:val="bottom"/>
            <w:gridSpan w:val="7"/>
          </w:tcPr>
          <w:p>
            <w:pPr>
              <w:spacing w:after="0"/>
              <w:rPr>
                <w:sz w:val="24"/>
                <w:szCs w:val="24"/>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r>
      <w:tr>
        <w:trPr>
          <w:trHeight w:val="264"/>
        </w:trPr>
        <w:tc>
          <w:tcPr>
            <w:tcW w:w="106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Fiscal Years Ended January 31, 2025, February 2, 2024 and January 27, 2023</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160" w:type="dxa"/>
            <w:vAlign w:val="bottom"/>
            <w:tcBorders>
              <w:left w:val="single" w:sz="8" w:color="0000EE"/>
            </w:tcBorders>
            <w:gridSpan w:val="3"/>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3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99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Operations for Fiscal Years Ended January 31, 2025, February 2, 2024 and January 27, 2023</w:t>
            </w:r>
          </w:p>
        </w:tc>
        <w:tc>
          <w:tcPr>
            <w:tcW w:w="720" w:type="dxa"/>
            <w:vAlign w:val="bottom"/>
            <w:gridSpan w:val="2"/>
          </w:tcPr>
          <w:p>
            <w:pPr>
              <w:spacing w:after="0"/>
              <w:rPr>
                <w:sz w:val="22"/>
                <w:szCs w:val="22"/>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106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at January 31, 2025 and February 2, 2024</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3160" w:type="dxa"/>
            <w:vAlign w:val="bottom"/>
            <w:tcBorders>
              <w:left w:val="single" w:sz="8" w:color="0000EE"/>
            </w:tcBorders>
            <w:gridSpan w:val="3"/>
            <w:shd w:val="clear" w:color="auto" w:fill="0000FF"/>
          </w:tcPr>
          <w:p>
            <w:pPr>
              <w:spacing w:after="0" w:line="20" w:lineRule="exact"/>
              <w:rPr>
                <w:sz w:val="1"/>
                <w:szCs w:val="1"/>
                <w:color w:val="auto"/>
              </w:rPr>
            </w:pPr>
          </w:p>
        </w:tc>
        <w:tc>
          <w:tcPr>
            <w:tcW w:w="2000" w:type="dxa"/>
            <w:vAlign w:val="bottom"/>
            <w:tcBorders>
              <w:right w:val="single" w:sz="8" w:color="0000EE"/>
            </w:tcBorders>
            <w:gridSpan w:val="3"/>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3"/>
        </w:trPr>
        <w:tc>
          <w:tcPr>
            <w:tcW w:w="87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Fiscal Years Ended January 31, 2025, February 2, 2024 and January 27, 2023</w:t>
            </w:r>
          </w:p>
        </w:tc>
        <w:tc>
          <w:tcPr>
            <w:tcW w:w="20" w:type="dxa"/>
            <w:vAlign w:val="bottom"/>
            <w:tcBorders>
              <w:bottom w:val="single" w:sz="8" w:color="0000EE"/>
            </w:tcBorders>
          </w:tcPr>
          <w:p>
            <w:pPr>
              <w:spacing w:after="0"/>
              <w:rPr>
                <w:sz w:val="22"/>
                <w:szCs w:val="22"/>
                <w:color w:val="auto"/>
              </w:rPr>
            </w:pPr>
          </w:p>
        </w:tc>
        <w:tc>
          <w:tcPr>
            <w:tcW w:w="1820" w:type="dxa"/>
            <w:vAlign w:val="bottom"/>
            <w:gridSpan w:val="3"/>
          </w:tcPr>
          <w:p>
            <w:pPr>
              <w:spacing w:after="0"/>
              <w:rPr>
                <w:sz w:val="22"/>
                <w:szCs w:val="22"/>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63"/>
        </w:trPr>
        <w:tc>
          <w:tcPr>
            <w:tcW w:w="1062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Fiscal Years Ended January 31, 2025, February 2, 2024 and January 27, 2023</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r>
      <w:tr>
        <w:trPr>
          <w:trHeight w:val="263"/>
        </w:trPr>
        <w:tc>
          <w:tcPr>
            <w:tcW w:w="1030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0" w:type="dxa"/>
            <w:vAlign w:val="bottom"/>
          </w:tcPr>
          <w:p>
            <w:pPr>
              <w:spacing w:after="0"/>
              <w:rPr>
                <w:sz w:val="22"/>
                <w:szCs w:val="22"/>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669"/>
        </w:trPr>
        <w:tc>
          <w:tcPr>
            <w:tcW w:w="3160" w:type="dxa"/>
            <w:vAlign w:val="bottom"/>
            <w:tcBorders>
              <w:top w:val="single" w:sz="8" w:color="0000FF"/>
            </w:tcBorders>
            <w:gridSpan w:val="3"/>
          </w:tcPr>
          <w:p>
            <w:pPr>
              <w:spacing w:after="0"/>
              <w:rPr>
                <w:sz w:val="24"/>
                <w:szCs w:val="24"/>
                <w:color w:val="auto"/>
              </w:rPr>
            </w:pPr>
          </w:p>
        </w:tc>
        <w:tc>
          <w:tcPr>
            <w:tcW w:w="5580" w:type="dxa"/>
            <w:vAlign w:val="bottom"/>
            <w:gridSpan w:val="4"/>
          </w:tcPr>
          <w:p>
            <w:pPr>
              <w:jc w:val="right"/>
              <w:ind w:right="302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Lands’ End,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Lands’ End, Inc. and subsidiaries (the "Company") as of January 31, 2025 and February 2, 2024, the related consolidated statements of operations, comprehensive operations, cash flows, and changes in stockholders’ equity, for each of the three fiscal years in the period ended January 31, 2025, and the related notes (collectively referred to as the "financial statements"). We also have audited the Company’s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January 31, 2025 and February 2,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 Refer to Notes 2 and 10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 indefinite-lived intangible asset that is the Lands’ End trade name. As of January 31, 2025, the carrying value of the trade name is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$257.0 million. The indefinite-lived trade name intangible asset is tested for impairment on an annual basis, or more frequently whenever events or changes in circumstances indicate the carrying value may not be recoverable. The fair value of the trade name indefinite-lived intangible asset is estimated using the relief-from-royalty valuation method. The relief from royalty valuation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If actual results fall short of the Company's estimates and assumptions used in estimating future cash flows and the asset fair values, the Company may be exposed to losses that could be material.</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identified the indefinite-lived intangible asset as a critical audit matter because of the significant judgments made by management to estimate the fair value of the trade name. This required a high degree of auditor judgment and an increased extent of effort, including the need to involve our fair value specialists, when performing audit procedures to evaluate the reasonableness of management’s estimates and assumptions related to selection of the discount rate and forecasts of future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projected future net revenue, and the selection of the discount rate for the trade name included the following, among others:</w:t>
      </w:r>
    </w:p>
    <w:p>
      <w:pPr>
        <w:spacing w:after="0" w:line="270" w:lineRule="exact"/>
        <w:rPr>
          <w:sz w:val="20"/>
          <w:szCs w:val="20"/>
          <w:color w:val="auto"/>
        </w:rPr>
      </w:pPr>
    </w:p>
    <w:p>
      <w:pPr>
        <w:ind w:left="1020" w:right="7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evaluation of the impairment evaluation of the indefinite-lived intangible asset, including those over the forecast of future revenues and the selection of the discount rate.</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 of future revenues, by comparing to (1) current and historical performance, (2) external market and industry data, and (3) forecasted information included in Company press releases and internal communications to management and the Board of Directors.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impact of changes in management’s forecasts from the annual measurement date to January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line="261"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management’s judgments as it relates to the selection of the discount rate, assessed the appropriateness of the Company’s selected valuation methodology, and tested the underlying source information and the mathematical accuracy of the calculations by developing a range of independent estimates and comparing those to the rate selected by management.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Fiscal Years Ended January 31, 2025, February 2, 2024 and January 27, 2023</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1,362,935</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1,472,508</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1,555,429</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709,590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846,981</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961,663</w:t>
            </w:r>
          </w:p>
        </w:tc>
        <w:tc>
          <w:tcPr>
            <w:tcW w:w="0" w:type="dxa"/>
            <w:vAlign w:val="bottom"/>
          </w:tcPr>
          <w:p>
            <w:pPr>
              <w:spacing w:after="0"/>
              <w:rPr>
                <w:sz w:val="1"/>
                <w:szCs w:val="1"/>
                <w:color w:val="auto"/>
              </w:rPr>
            </w:pP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653,345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625,527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593,766</w:t>
            </w:r>
          </w:p>
        </w:tc>
        <w:tc>
          <w:tcPr>
            <w:tcW w:w="0" w:type="dxa"/>
            <w:vAlign w:val="bottom"/>
          </w:tcPr>
          <w:p>
            <w:pPr>
              <w:spacing w:after="0"/>
              <w:rPr>
                <w:sz w:val="1"/>
                <w:szCs w:val="1"/>
                <w:color w:val="auto"/>
              </w:rPr>
            </w:pPr>
          </w:p>
        </w:tc>
      </w:tr>
      <w:tr>
        <w:trPr>
          <w:trHeight w:val="39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561,804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550,211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527,374</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33,772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6,812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7,666</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2,926</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602,388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703,042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569,041</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50,957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(77,515 )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24,725</w:t>
            </w:r>
          </w:p>
        </w:tc>
        <w:tc>
          <w:tcPr>
            <w:tcW w:w="0" w:type="dxa"/>
            <w:vAlign w:val="bottom"/>
          </w:tcPr>
          <w:p>
            <w:pPr>
              <w:spacing w:after="0"/>
              <w:rPr>
                <w:sz w:val="1"/>
                <w:szCs w:val="1"/>
                <w:color w:val="auto"/>
              </w:rPr>
            </w:pP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6"/>
                <w:szCs w:val="16"/>
                <w:color w:val="auto"/>
              </w:rPr>
            </w:pP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40,439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48,291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39,768</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6"/>
                <w:szCs w:val="16"/>
                <w:color w:val="auto"/>
              </w:rPr>
            </w:pPr>
          </w:p>
        </w:tc>
        <w:tc>
          <w:tcPr>
            <w:tcW w:w="112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10,496</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(131,817 )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(14,679 )</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4,263</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0" w:type="dxa"/>
            <w:vAlign w:val="bottom"/>
          </w:tcPr>
          <w:p>
            <w:pPr>
              <w:spacing w:after="0"/>
              <w:rPr>
                <w:sz w:val="1"/>
                <w:szCs w:val="1"/>
                <w:color w:val="auto"/>
              </w:rPr>
            </w:pPr>
          </w:p>
        </w:tc>
      </w:tr>
      <w:tr>
        <w:trPr>
          <w:trHeight w:val="210"/>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EARNINGS (LOSS) PER COMMON SHARE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ATTRIBUTABLE TO STOCKHOLDERS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(4.09 )</w:t>
            </w: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31,213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33,108</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31,664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31, 2025, February 2, 2024 and January 27, 2023</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16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(130,684 )</w:t>
            </w:r>
          </w:p>
        </w:tc>
        <w:tc>
          <w:tcPr>
            <w:tcW w:w="16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(12,530 )</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r>
      <w:tr>
        <w:trPr>
          <w:trHeight w:val="234"/>
        </w:trPr>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5,633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(129,731 )</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(16,910 )</w:t>
            </w: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7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25,314</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47,839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35,295</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265,132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301,724</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37,975</w:t>
            </w:r>
          </w:p>
        </w:tc>
        <w:tc>
          <w:tcPr>
            <w:tcW w:w="0" w:type="dxa"/>
            <w:vAlign w:val="bottom"/>
          </w:tcPr>
          <w:p>
            <w:pPr>
              <w:spacing w:after="0"/>
              <w:rPr>
                <w:sz w:val="1"/>
                <w:szCs w:val="1"/>
                <w:color w:val="auto"/>
              </w:rPr>
            </w:pP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5,439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7,976</w:t>
            </w:r>
          </w:p>
        </w:tc>
        <w:tc>
          <w:tcPr>
            <w:tcW w:w="0" w:type="dxa"/>
            <w:vAlign w:val="bottom"/>
          </w:tcPr>
          <w:p>
            <w:pPr>
              <w:spacing w:after="0"/>
              <w:rPr>
                <w:sz w:val="1"/>
                <w:szCs w:val="1"/>
                <w:color w:val="auto"/>
              </w:rPr>
            </w:pPr>
          </w:p>
        </w:tc>
      </w:tr>
      <w:tr>
        <w:trPr>
          <w:trHeight w:val="191"/>
        </w:trPr>
        <w:tc>
          <w:tcPr>
            <w:tcW w:w="76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370,480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410,260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115,618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118,033</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23,438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257,000</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0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765,481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811,479</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111,353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131,922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234"/>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98,736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108,972</w:t>
            </w:r>
          </w:p>
        </w:tc>
        <w:tc>
          <w:tcPr>
            <w:tcW w:w="0" w:type="dxa"/>
            <w:vAlign w:val="bottom"/>
          </w:tcPr>
          <w:p>
            <w:pPr>
              <w:spacing w:after="0"/>
              <w:rPr>
                <w:sz w:val="1"/>
                <w:szCs w:val="1"/>
                <w:color w:val="auto"/>
              </w:rPr>
            </w:pPr>
          </w:p>
        </w:tc>
      </w:tr>
      <w:tr>
        <w:trPr>
          <w:trHeight w:val="191"/>
        </w:trPr>
        <w:tc>
          <w:tcPr>
            <w:tcW w:w="76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227,623</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
              <w:spacing w:after="0" w:line="191" w:lineRule="exact"/>
              <w:rPr>
                <w:sz w:val="20"/>
                <w:szCs w:val="20"/>
                <w:color w:val="auto"/>
              </w:rPr>
            </w:pPr>
            <w:r>
              <w:rPr>
                <w:rFonts w:ascii="Times New Roman" w:cs="Times New Roman" w:eastAsia="Times New Roman" w:hAnsi="Times New Roman"/>
                <w:sz w:val="18"/>
                <w:szCs w:val="18"/>
                <w:color w:val="auto"/>
              </w:rPr>
              <w:t>259,918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224,888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236,170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22,952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48,020</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1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526,259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569,886</w:t>
            </w:r>
          </w:p>
        </w:tc>
        <w:tc>
          <w:tcPr>
            <w:tcW w:w="0" w:type="dxa"/>
            <w:vAlign w:val="bottom"/>
          </w:tcPr>
          <w:p>
            <w:pPr>
              <w:spacing w:after="0"/>
              <w:rPr>
                <w:sz w:val="1"/>
                <w:szCs w:val="1"/>
                <w:color w:val="auto"/>
              </w:rPr>
            </w:pPr>
          </w:p>
        </w:tc>
      </w:tr>
      <w:tr>
        <w:trPr>
          <w:trHeight w:val="188"/>
        </w:trPr>
        <w:tc>
          <w:tcPr>
            <w:tcW w:w="76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par value $0.01 - authorized: 480,000 shares; issued</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and outstanding: 30,843 and 31,433, respectively</w:t>
            </w:r>
          </w:p>
        </w:tc>
        <w:tc>
          <w:tcPr>
            <w:tcW w:w="18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309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349,940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auto"/>
              </w:rPr>
              <w:t>356,764</w:t>
            </w:r>
          </w:p>
        </w:tc>
        <w:tc>
          <w:tcPr>
            <w:tcW w:w="0" w:type="dxa"/>
            <w:vAlign w:val="bottom"/>
          </w:tcPr>
          <w:p>
            <w:pPr>
              <w:spacing w:after="0"/>
              <w:rPr>
                <w:sz w:val="1"/>
                <w:szCs w:val="1"/>
                <w:color w:val="auto"/>
              </w:rPr>
            </w:pPr>
          </w:p>
        </w:tc>
      </w:tr>
      <w:tr>
        <w:trPr>
          <w:trHeight w:val="203"/>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(94,358 )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(99,417 )</w:t>
            </w:r>
          </w:p>
        </w:tc>
        <w:tc>
          <w:tcPr>
            <w:tcW w:w="0" w:type="dxa"/>
            <w:vAlign w:val="bottom"/>
          </w:tcPr>
          <w:p>
            <w:pPr>
              <w:spacing w:after="0"/>
              <w:rPr>
                <w:sz w:val="1"/>
                <w:szCs w:val="1"/>
                <w:color w:val="auto"/>
              </w:rPr>
            </w:pPr>
          </w:p>
        </w:tc>
      </w:tr>
      <w:tr>
        <w:trPr>
          <w:trHeight w:val="222"/>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(16,669 )</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(16,069 )</w:t>
            </w:r>
          </w:p>
        </w:tc>
        <w:tc>
          <w:tcPr>
            <w:tcW w:w="0" w:type="dxa"/>
            <w:vAlign w:val="bottom"/>
          </w:tcPr>
          <w:p>
            <w:pPr>
              <w:spacing w:after="0"/>
              <w:rPr>
                <w:sz w:val="1"/>
                <w:szCs w:val="1"/>
                <w:color w:val="auto"/>
              </w:rPr>
            </w:pPr>
          </w:p>
        </w:tc>
      </w:tr>
      <w:tr>
        <w:trPr>
          <w:trHeight w:val="198"/>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239,222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rPr>
              <w:t>241,593</w:t>
            </w:r>
          </w:p>
        </w:tc>
        <w:tc>
          <w:tcPr>
            <w:tcW w:w="0" w:type="dxa"/>
            <w:vAlign w:val="bottom"/>
          </w:tcPr>
          <w:p>
            <w:pPr>
              <w:spacing w:after="0"/>
              <w:rPr>
                <w:sz w:val="1"/>
                <w:szCs w:val="1"/>
                <w:color w:val="auto"/>
              </w:rPr>
            </w:pPr>
          </w:p>
        </w:tc>
      </w:tr>
      <w:tr>
        <w:trPr>
          <w:trHeight w:val="210"/>
        </w:trPr>
        <w:tc>
          <w:tcPr>
            <w:tcW w:w="76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765,481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811,479</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Fiscal Years Ended January 31, 2025, February 2, 2024 and January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134620</wp:posOffset>
            </wp:positionV>
            <wp:extent cx="29400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33,772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38,741</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long-lived asset impairment</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124,459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(45,873 )</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(33,047 )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19,938</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(8,105 )</w:t>
            </w:r>
          </w:p>
        </w:tc>
        <w:tc>
          <w:tcPr>
            <w:tcW w:w="0" w:type="dxa"/>
            <w:vAlign w:val="bottom"/>
          </w:tcPr>
          <w:p>
            <w:pPr>
              <w:spacing w:after="0"/>
              <w:rPr>
                <w:sz w:val="1"/>
                <w:szCs w:val="1"/>
                <w:color w:val="auto"/>
              </w:rPr>
            </w:pPr>
          </w:p>
        </w:tc>
      </w:tr>
      <w:tr>
        <w:trPr>
          <w:trHeight w:val="234"/>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(10,349 )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1,478</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(40,060 )</w:t>
            </w:r>
          </w:p>
        </w:tc>
        <w:tc>
          <w:tcPr>
            <w:tcW w:w="0" w:type="dxa"/>
            <w:vAlign w:val="bottom"/>
          </w:tcPr>
          <w:p>
            <w:pPr>
              <w:spacing w:after="0"/>
              <w:rPr>
                <w:sz w:val="1"/>
                <w:szCs w:val="1"/>
                <w:color w:val="auto"/>
              </w:rPr>
            </w:pPr>
          </w:p>
        </w:tc>
      </w:tr>
      <w:tr>
        <w:trPr>
          <w:trHeight w:val="210"/>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53,143</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130,565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(36,367 )</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34"/>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(37,770 )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(34,916 )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(31,806 )</w:t>
            </w:r>
          </w:p>
        </w:tc>
        <w:tc>
          <w:tcPr>
            <w:tcW w:w="0" w:type="dxa"/>
            <w:vAlign w:val="bottom"/>
          </w:tcPr>
          <w:p>
            <w:pPr>
              <w:spacing w:after="0"/>
              <w:rPr>
                <w:sz w:val="1"/>
                <w:szCs w:val="1"/>
                <w:color w:val="auto"/>
              </w:rPr>
            </w:pPr>
          </w:p>
        </w:tc>
      </w:tr>
      <w:tr>
        <w:trPr>
          <w:trHeight w:val="20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(35,036 )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(34,909 )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(29,839 )</w:t>
            </w:r>
          </w:p>
        </w:tc>
        <w:tc>
          <w:tcPr>
            <w:tcW w:w="0" w:type="dxa"/>
            <w:vAlign w:val="bottom"/>
          </w:tcPr>
          <w:p>
            <w:pPr>
              <w:spacing w:after="0"/>
              <w:rPr>
                <w:sz w:val="1"/>
                <w:szCs w:val="1"/>
                <w:color w:val="auto"/>
              </w:rPr>
            </w:pPr>
          </w:p>
        </w:tc>
      </w:tr>
      <w:tr>
        <w:trPr>
          <w:trHeight w:val="205"/>
        </w:trPr>
        <w:tc>
          <w:tcPr>
            <w:tcW w:w="65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113,000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264,000</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(272,000 )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(164,000 )</w:t>
            </w: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on long-term debt, net of discount</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252,200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term loan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(13,750 )</w:t>
            </w:r>
          </w:p>
        </w:tc>
        <w:tc>
          <w:tcPr>
            <w:tcW w:w="0" w:type="dxa"/>
            <w:vAlign w:val="bottom"/>
          </w:tcPr>
          <w:p>
            <w:pPr>
              <w:spacing w:after="0"/>
              <w:rPr>
                <w:sz w:val="1"/>
                <w:szCs w:val="1"/>
                <w:color w:val="auto"/>
              </w:rPr>
            </w:pPr>
          </w:p>
        </w:tc>
      </w:tr>
      <w:tr>
        <w:trPr>
          <w:trHeight w:val="22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extinguishment costs</w:t>
            </w: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0" w:type="dxa"/>
            <w:vAlign w:val="bottom"/>
          </w:tcPr>
          <w:p>
            <w:pPr>
              <w:spacing w:after="0"/>
              <w:rPr>
                <w:sz w:val="1"/>
                <w:szCs w:val="1"/>
                <w:color w:val="auto"/>
              </w:rPr>
            </w:pPr>
          </w:p>
        </w:tc>
      </w:tr>
      <w:tr>
        <w:trPr>
          <w:trHeight w:val="248"/>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(11,595 )</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(11,902 )</w:t>
            </w: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0" w:type="dxa"/>
            <w:vAlign w:val="bottom"/>
          </w:tcPr>
          <w:p>
            <w:pPr>
              <w:spacing w:after="0"/>
              <w:rPr>
                <w:sz w:val="1"/>
                <w:szCs w:val="1"/>
                <w:color w:val="auto"/>
              </w:rPr>
            </w:pPr>
          </w:p>
        </w:tc>
      </w:tr>
      <w:tr>
        <w:trPr>
          <w:trHeight w:val="209"/>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(26,594 )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(110,107 )</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73,463</w:t>
            </w:r>
          </w:p>
        </w:tc>
        <w:tc>
          <w:tcPr>
            <w:tcW w:w="0" w:type="dxa"/>
            <w:vAlign w:val="bottom"/>
          </w:tcPr>
          <w:p>
            <w:pPr>
              <w:spacing w:after="0"/>
              <w:rPr>
                <w:sz w:val="1"/>
                <w:szCs w:val="1"/>
                <w:color w:val="auto"/>
              </w:rPr>
            </w:pPr>
          </w:p>
        </w:tc>
      </w:tr>
      <w:tr>
        <w:trPr>
          <w:trHeight w:val="191"/>
        </w:trPr>
        <w:tc>
          <w:tcPr>
            <w:tcW w:w="6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Effects of exchange rate changes on cash, cash equivalents</w:t>
            </w:r>
          </w:p>
        </w:tc>
        <w:tc>
          <w:tcPr>
            <w:tcW w:w="32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(2,001 )</w:t>
            </w:r>
          </w:p>
        </w:tc>
        <w:tc>
          <w:tcPr>
            <w:tcW w:w="0" w:type="dxa"/>
            <w:vAlign w:val="bottom"/>
          </w:tcPr>
          <w:p>
            <w:pPr>
              <w:spacing w:after="0"/>
              <w:rPr>
                <w:sz w:val="1"/>
                <w:szCs w:val="1"/>
                <w:color w:val="auto"/>
              </w:rPr>
            </w:pPr>
          </w:p>
        </w:tc>
      </w:tr>
      <w:tr>
        <w:trPr>
          <w:trHeight w:val="221"/>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(DECREASE) INCREASE IN CASH, CASH</w:t>
            </w: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(8,478 )</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(14,101 )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27,290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41,391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36,135</w:t>
            </w:r>
          </w:p>
        </w:tc>
        <w:tc>
          <w:tcPr>
            <w:tcW w:w="0" w:type="dxa"/>
            <w:vAlign w:val="bottom"/>
          </w:tcPr>
          <w:p>
            <w:pPr>
              <w:spacing w:after="0"/>
              <w:rPr>
                <w:sz w:val="1"/>
                <w:szCs w:val="1"/>
                <w:color w:val="auto"/>
              </w:rPr>
            </w:pPr>
          </w:p>
        </w:tc>
      </w:tr>
      <w:tr>
        <w:trPr>
          <w:trHeight w:val="225"/>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5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18,812</w:t>
            </w:r>
          </w:p>
        </w:tc>
        <w:tc>
          <w:tcPr>
            <w:tcW w:w="4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27,290</w:t>
            </w: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41,391</w:t>
            </w:r>
          </w:p>
        </w:tc>
        <w:tc>
          <w:tcPr>
            <w:tcW w:w="0" w:type="dxa"/>
            <w:vAlign w:val="bottom"/>
          </w:tcPr>
          <w:p>
            <w:pPr>
              <w:spacing w:after="0"/>
              <w:rPr>
                <w:sz w:val="1"/>
                <w:szCs w:val="1"/>
                <w:color w:val="auto"/>
              </w:rPr>
            </w:pPr>
          </w:p>
        </w:tc>
      </w:tr>
      <w:tr>
        <w:trPr>
          <w:trHeight w:val="198"/>
        </w:trPr>
        <w:tc>
          <w:tcPr>
            <w:tcW w:w="6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END OF YEAR</w:t>
            </w:r>
          </w:p>
        </w:tc>
        <w:tc>
          <w:tcPr>
            <w:tcW w:w="3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1,722</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3,853</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34"/>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37,043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48,099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080" w:type="dxa"/>
            <w:vAlign w:val="bottom"/>
            <w:gridSpan w:val="3"/>
            <w:vMerge w:val="restart"/>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Common Stock Issued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8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160" w:type="dxa"/>
            <w:vAlign w:val="bottom"/>
            <w:gridSpan w:val="2"/>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line="142"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120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28, 2022</w:t>
            </w:r>
          </w:p>
        </w:tc>
        <w:tc>
          <w:tcPr>
            <w:tcW w:w="1200" w:type="dxa"/>
            <w:vAlign w:val="bottom"/>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32,985</w:t>
            </w:r>
          </w:p>
        </w:tc>
        <w:tc>
          <w:tcPr>
            <w:tcW w:w="100" w:type="dxa"/>
            <w:vAlign w:val="bottom"/>
          </w:tcPr>
          <w:p>
            <w:pPr>
              <w:spacing w:after="0"/>
              <w:rPr>
                <w:sz w:val="16"/>
                <w:szCs w:val="16"/>
                <w:color w:val="auto"/>
              </w:rPr>
            </w:pPr>
          </w:p>
        </w:tc>
        <w:tc>
          <w:tcPr>
            <w:tcW w:w="780" w:type="dxa"/>
            <w:vAlign w:val="bottom"/>
          </w:tcPr>
          <w:p>
            <w:pPr>
              <w:jc w:val="right"/>
              <w:ind w:right="578"/>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330</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374,413</w:t>
            </w:r>
          </w:p>
        </w:tc>
        <w:tc>
          <w:tcPr>
            <w:tcW w:w="1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44,595</w:t>
            </w:r>
          </w:p>
        </w:tc>
        <w:tc>
          <w:tcPr>
            <w:tcW w:w="1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(12,642 )</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406,696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3,753</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(4,324 )</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(796 )</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(8,463 )</w:t>
            </w: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January 27, 2023</w:t>
            </w:r>
          </w:p>
        </w:tc>
        <w:tc>
          <w:tcPr>
            <w:tcW w:w="1200" w:type="dxa"/>
            <w:vAlign w:val="bottom"/>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32,626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326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366,181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31,267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(17,022 )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380,752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(130,684 )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(1,487 )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(11,972 )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(11,986 )</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including excise taxes</w:t>
            </w: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at February 2, 2024</w:t>
            </w:r>
          </w:p>
        </w:tc>
        <w:tc>
          <w:tcPr>
            <w:tcW w:w="1200" w:type="dxa"/>
            <w:vAlign w:val="bottom"/>
          </w:tcPr>
          <w:p>
            <w:pPr>
              <w:jc w:val="right"/>
              <w:ind w:right="32"/>
              <w:spacing w:after="0" w:line="191" w:lineRule="exact"/>
              <w:rPr>
                <w:sz w:val="20"/>
                <w:szCs w:val="20"/>
                <w:color w:val="auto"/>
              </w:rPr>
            </w:pPr>
            <w:r>
              <w:rPr>
                <w:rFonts w:ascii="Times New Roman" w:cs="Times New Roman" w:eastAsia="Times New Roman" w:hAnsi="Times New Roman"/>
                <w:sz w:val="18"/>
                <w:szCs w:val="18"/>
                <w:color w:val="auto"/>
              </w:rPr>
              <w:t>31,433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315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356,764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(99,417 )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(16,069 )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241,593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4,873</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shares</w:t>
            </w: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withheld related to net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(1,275 )</w:t>
            </w:r>
          </w:p>
        </w:tc>
        <w:tc>
          <w:tcPr>
            <w:tcW w:w="0" w:type="dxa"/>
            <w:vAlign w:val="bottom"/>
          </w:tcPr>
          <w:p>
            <w:pPr>
              <w:spacing w:after="0"/>
              <w:rPr>
                <w:sz w:val="1"/>
                <w:szCs w:val="1"/>
                <w:color w:val="auto"/>
              </w:rPr>
            </w:pPr>
          </w:p>
        </w:tc>
      </w:tr>
      <w:tr>
        <w:trPr>
          <w:trHeight w:val="203"/>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 settlement of equity awards</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Purchases and retirement of common stock,</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(11,602 )</w:t>
            </w:r>
          </w:p>
        </w:tc>
        <w:tc>
          <w:tcPr>
            <w:tcW w:w="0" w:type="dxa"/>
            <w:vAlign w:val="bottom"/>
          </w:tcPr>
          <w:p>
            <w:pPr>
              <w:spacing w:after="0"/>
              <w:rPr>
                <w:sz w:val="1"/>
                <w:szCs w:val="1"/>
                <w:color w:val="auto"/>
              </w:rPr>
            </w:pPr>
          </w:p>
        </w:tc>
      </w:tr>
      <w:tr>
        <w:trPr>
          <w:trHeight w:val="211"/>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including excise taxes</w:t>
            </w: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2025</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30,843</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309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349,940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(94,358 )</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(16,669 )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239,222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1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i w:val="1"/>
          <w:iCs w:val="1"/>
          <w:color w:val="auto"/>
        </w:rPr>
        <w:t>Lands’ End, Inc. (“Lands’ End” or the “Company”) is a leading digital retailer of solution-based apparel, swimwear, outerwear, accessories, footwear, home products and uniforms. Lands’ End offers products online at www.landsend.com, through third-party distribution channels and Company Operated stores. The Company also offers products to businesses and schools, for their employees and students, through the Outfitters distribution channel.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Terms that are commonly used in the Company’s Notes to the Consolidated Financial Statements are defined as follows:</w:t>
      </w:r>
    </w:p>
    <w:p>
      <w:pPr>
        <w:spacing w:after="0" w:line="117" w:lineRule="exact"/>
        <w:rPr>
          <w:sz w:val="20"/>
          <w:szCs w:val="20"/>
          <w:color w:val="auto"/>
        </w:rPr>
      </w:pPr>
    </w:p>
    <w:p>
      <w:pPr>
        <w:ind w:left="1000" w:right="2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 providing for a revolving facility, dated as of November 16, 2017, with Wells Fargo Bank, N.A. and certain other lenders, as amended to date</w:t>
      </w:r>
    </w:p>
    <w:p>
      <w:pPr>
        <w:spacing w:after="0" w:line="50" w:lineRule="exact"/>
        <w:rPr>
          <w:rFonts w:ascii="Times New Roman" w:cs="Times New Roman" w:eastAsia="Times New Roman" w:hAnsi="Times New Roman"/>
          <w:sz w:val="18"/>
          <w:szCs w:val="18"/>
          <w:color w:val="auto"/>
        </w:rPr>
      </w:pPr>
    </w:p>
    <w:p>
      <w:pPr>
        <w:ind w:left="1000" w:right="2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Term Loan Facility – Term loan credit agreement, dated as of December 29, 2023, among the Company, Blue Torch Capital,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Current Term Loan Facility and ABL Facility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Deferred Awards – Time vesting stock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EPS – Earnings per share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FASB – Financial Accounting Standards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2024 – The 13 weeks ending May 3,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ending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2023 – The 53 weeks ended February 2, 2024</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2022 – The 52 weeks ended January 27, 2023</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Former Term Loan Facility – Term loan credit agreement, dated as of September 9, 2020, among the Company, Fortress Credit Corp., as Administrative Agent and Collateral Agent, and the lenders party thereto</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2024 – The 13 weeks ended January 31, 2025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LIBOR – London inter-bank offered rate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Awards – Stock option awards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 – Performance-based stock awards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1" w:lineRule="exact"/>
        <w:rPr>
          <w:sz w:val="20"/>
          <w:szCs w:val="20"/>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 – United States Securities and Exchange Commission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117"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Adjusted SOFR – SOFR plus adjustments of either (a) 0.11448% for a one-month interest period, (b) 0.26161% for a three-month interest period, or (c) 0.42826% for a six-month interest period</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Shares – Number of restricted stock units awarded to a recipient which reflects the number of shares to be delivered based on achievement of target performance goals</w:t>
      </w:r>
    </w:p>
    <w:p>
      <w:pPr>
        <w:spacing w:after="0" w:line="50"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Quarter 2023 – The 13 weeks ended October 27,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Lands’ End, Inc. and its subsidiaries. All intercompany transactions and balances have been eliminated.</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In the opinion of management, all material adjustments of a normal and recurring nature necessary for a fair presentation of the results have been reflected for the periods presented. Dollar amounts are reported in thousands, except per share data, unless otherwise noted.</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494"/>
        <w:spacing w:after="0" w:line="255"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the Company’s business. Apparel purchases historically have been influenced by domestic and global economic conditions, which may negatively impact customer demand and may require higher levels of promotion in order to attract and retain customers. Additionally, the variable interest rates associated with the Company’s Debt Facilities are negatively affected by higher interest rate environments. Macroeconomic challenges may lead to increased cost of raw materials, packaging materials, labor, energy, fuel, debt and other inputs necessary for the production and distribution of the Company’s products. Moreover, uncertainty with respect to trade policy and tariffs, including increased tariffs applicable to countries where the Company’s vendors manufacture Lands’ End product, may result in an increase in the cost of the Company’s products.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the Company reduced approximately 10% of its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restructuring costs recognized in Other operating expense, net in the Consolidated Statement of Operations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2024 and Fiscal 2023:</w:t>
      </w:r>
    </w:p>
    <w:tbl>
      <w:tblPr>
        <w:tblLayout w:type="fixed"/>
        <w:tblInd w:w="1140" w:type="dxa"/>
        <w:tblCellMar>
          <w:top w:w="0" w:type="dxa"/>
          <w:left w:w="0" w:type="dxa"/>
          <w:bottom w:w="0" w:type="dxa"/>
          <w:right w:w="0" w:type="dxa"/>
        </w:tblCellMar>
      </w:tblPr>
      <w:tr>
        <w:trPr>
          <w:trHeight w:val="158"/>
        </w:trPr>
        <w:tc>
          <w:tcPr>
            <w:tcW w:w="6140" w:type="dxa"/>
            <w:vAlign w:val="bottom"/>
          </w:tcPr>
          <w:p>
            <w:pPr>
              <w:spacing w:after="0" w:line="157"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5"/>
              <w:spacing w:after="0" w:line="157" w:lineRule="exact"/>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severance and benefit costs</w:t>
            </w: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4,291</w:t>
            </w:r>
          </w:p>
        </w:tc>
        <w:tc>
          <w:tcPr>
            <w:tcW w:w="22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5,088</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w:t>
            </w: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Included in Accrued expenses and other current liabilities in the Consolidated Balance Sheets are approximately $2.0 million of the employee severance and benefit costs as of January 31, 2025 and approximately $2.9 million of the employee severance and benefit costs and $1.1 million of the other related costs as of February 2, 2024 yet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 xml:space="preserve">During Fiscal 2022, the Board of Directors approved a plan to wind down and cease operations of Lands’ End Japan KK. Lands’ End Japan KK represents the Japan eCommerce operating segment. The final liquidation occurred in First Quarter 2024. The Company incurred no closing costs in Fiscal 2024 and approximately $0.3 million and $3.0 million during Fiscal 2023 and Fiscal 2022, respectively, recorded in Other operating expense, net in the Consolidated Statements of Operations.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Company’s fiscal year end is on the Friday preceding the Saturday closest to January 31 each year. The fiscal periods in this report are presented as follows, unless the context otherwise requires: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5"/>
                <w:szCs w:val="15"/>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Weeks</w:t>
            </w:r>
          </w:p>
        </w:tc>
      </w:tr>
      <w:tr>
        <w:trPr>
          <w:trHeight w:val="191"/>
        </w:trPr>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16"/>
                <w:szCs w:val="16"/>
                <w:color w:val="auto"/>
              </w:rPr>
            </w:pPr>
          </w:p>
        </w:tc>
        <w:tc>
          <w:tcPr>
            <w:tcW w:w="2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January 31, 2025</w:t>
            </w:r>
          </w:p>
        </w:tc>
        <w:tc>
          <w:tcPr>
            <w:tcW w:w="400" w:type="dxa"/>
            <w:vAlign w:val="bottom"/>
          </w:tcPr>
          <w:p>
            <w:pPr>
              <w:spacing w:after="0"/>
              <w:rPr>
                <w:sz w:val="16"/>
                <w:szCs w:val="16"/>
                <w:color w:val="auto"/>
              </w:rPr>
            </w:pPr>
          </w:p>
        </w:tc>
        <w:tc>
          <w:tcPr>
            <w:tcW w:w="2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2024</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53</w:t>
            </w:r>
          </w:p>
        </w:tc>
      </w:tr>
      <w:tr>
        <w:trPr>
          <w:trHeight w:val="234"/>
        </w:trPr>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27, 2023</w:t>
            </w:r>
          </w:p>
        </w:tc>
        <w:tc>
          <w:tcPr>
            <w:tcW w:w="31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Company’s operations have historically been seasonal, with a disproportionate amount of net revenue occurring in the fourth fiscal quarter, reflecting increased customer demand during the year-end holiday selling season. The impact of seasonality on results of operations is more pronounced since the level of certain fixed costs, such as occupancy and overhead expenses, do not vary with sales. The Company’s results of operations also may fluctuate based upon such factors as the timing of certain holiday season dates and promotions, the amount of net revenue contributed by new and existing stores, the timing and level of markdowns, competitive factors, weather and general economic conditions.</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reportable amounts of assets and liabilities and disclosure of contingent assets and liabilities at the date of the financial statements as well as the reported amounts of revenue and expenses during the reporting period. Significant accounting estimates inherent in the preparation of the consolidated financial statements include timing of revenue recognition, estimated merchandise returns, inventory valuation, impairment assessments for goodwill, indefinite-lived intangible assets and long-lived assets and income taxes. Actual results could differ from those estimates made by management, which could have a material impact on the Company’s financial position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highly liquid temporary instruments purchased with original maturities of three months or less. It also includes deposits in-transit from banks for payments related to third-party credit card and debit card transactions. The Company maintains a portion of its cash in Federal Deposit Insurance Corporation (“FDIC”) insured bank deposit accounts which, at times, may exceed federally insured limits. To date, the Company has not experienced any losses in such accounts. The Company does not believe, based on the size and strength of the banking institutions used, it is exposed to any significant credit risks in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classifies cash balances pledged as collateral as Restricted cash on the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provides an allowance for credit losses based on historical loss experience, collection experience, delinquency trends, economic conditions and specific identification. The Accounts receivable balance on the Consolidated Balance Sheets is presented net of the Company’s allowance for credit losses and is comprised of various customer-related accounts receivable.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balance of the allowance for credit losses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728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2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Inventories primarily consist of merchandise purchased for resale. For financial reporting and tax purposes, the Company’s United States inventory, primarily merchandise held for sale, is stated at last-in, first-out (“LIFO”) cost, which is lower than net realizable value. The Company accounts for its non-United States inventory on the first-in, first-out (“FIFO”) method. The United States inventory accounted for using the LIFO method was 93% of total inventory as of January 31, 2025 and February 2, 2024. If the FIFO method of accounting for inventory had been used, the effect on inventory would have been an increase of $0.5 million and $1.5 million as of January 31, 2025 and February 2, 2024, respectively.</w:t>
      </w:r>
    </w:p>
    <w:p>
      <w:pPr>
        <w:spacing w:after="0" w:line="75"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maintains a reserve for excess and obsolete inventory. The reserve is calculated based on historical experience related to liquidation and disposal of identified inventory. The excess and obsolescence reserve balances were $11.7 million and $18.1 million as of January 31, 2025 and February 2,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Catalog Costs and Marketing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Costs incurred for direct response marketing consist primarily of catalog production and mailing costs that are generally amortized within two months from the date catalogs are mailed. Unamortized marketing costs reported as prepaid assets were $10.1 million and $10.3 million as of January 31, 2025 and February 2, 2024, respectively. The Company expenses the costs of marketing for website, magazine, newspaper, radio and other general media when the marketing takes place. Marketing expenses, including catalog costs amortization, digital-related costs and other print media were $207.6 million, $200.5 million and $205.6 million for Fiscal 2024, Fiscal 2023 and Fiscal 2022, respectively. These costs are included within Selling and administrative expenses in the accompanying Consolidated Statements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Additions and substantial improvements are capitalized and include expenditures that materially extend the useful lives of existing facilities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equipment. Maintenance and repairs that do not materially improve or extend the lives of the respective assets are expensed as incurred. As of the balance sheet dates, Property and equipment, net consisted of the following:</w:t>
      </w:r>
    </w:p>
    <w:p>
      <w:pPr>
        <w:spacing w:after="0" w:line="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 Lives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February 2,</w:t>
            </w: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Land</w:t>
            </w:r>
          </w:p>
        </w:tc>
        <w:tc>
          <w:tcPr>
            <w:tcW w:w="1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3,328</w:t>
            </w:r>
          </w:p>
        </w:tc>
        <w:tc>
          <w:tcPr>
            <w:tcW w:w="14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3,450</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102,472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101,232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70,199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66,373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274,299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261,764</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12,673</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25,972</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17,706</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488,007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463,198</w:t>
            </w: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(372,389 )</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(345,165 )</w:t>
            </w: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115,618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118,033</w:t>
            </w:r>
          </w:p>
        </w:tc>
      </w:tr>
      <w:tr>
        <w:trPr>
          <w:trHeight w:val="20"/>
        </w:trPr>
        <w:tc>
          <w:tcPr>
            <w:tcW w:w="5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both January 31, 2025 and February 2, 2024, construction in progress relates primarily to technological investments.</w:t>
      </w:r>
    </w:p>
    <w:p>
      <w:pPr>
        <w:spacing w:after="0" w:line="117"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Depreciation expense is recorded over the estimated useful lives of the respective assets using the straight-line method. Leasehold improvements are depreciated over the shorter of the associated lease term or the estimated useful life of the asset. Depreciation expense was $33.8 million, $38.5 million and $38.7 million for Fiscal 2024, Fiscal 2023 and Fiscal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is a lessee under various lease agreements for its Company Operated store locations and certain international distribution and office facilities. All leases are classified as operating leases. The Company’s leases have remaining lease terms ranging from less than one year up to six years with renewal options. The lease term is defined as the noncancelable portion of the lease term plus any periods covered by an option to extend the lease, if it is reasonably certain that the option will be exercised.</w:t>
      </w:r>
    </w:p>
    <w:p>
      <w:pPr>
        <w:spacing w:after="0" w:line="72"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lease inception. Lease commencement is the date in which the lessor provides the Company access to, and the right to control, the identified asset. At lease commencement, the Company recognizes a right-of-use asset and a corresponding lease liability measured at the present value of the future minimum lease payments. Minimum lease payments include the fixed lease component of the agreement, as well as any variable rate payments that depend on an index, initially measured using the index at the lease commencement date. The right-of-use asset is recorded at the amount of the lease liability, increased for prepaid lease and initial direct costs paid and reduced by any lease incentives.</w:t>
      </w:r>
    </w:p>
    <w:p>
      <w:pPr>
        <w:spacing w:after="0" w:line="79"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of not recognizing a right-of-use asset or lease liability for short-term leases, which are leases with a term of twelve months or less. Lease payments on short-term leases are expensed as incurred. The Company has lease agreements with lease and non-lease components. The Company has elected the practical expedient to combine lease and non-lease components. The Company does not have any leases with residual value guarantees or restrictions or covenants imposed by the lease.</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Due to the absence of an implicit rate in the Company’s lease agreements, the Company estimates its incremental borrowing rate at lease commencement in determining the present value of lease payments for each lease based on the lease term, lease currency and the Company’s credit spread. The yield curve selected at the lease commencement date represents one notch above the Company’s unsecured credit rating, and therefore is considered a close proxy for the incremental borrowing rate the Company would incur for secured debt.</w:t>
      </w:r>
    </w:p>
    <w:p>
      <w:pPr>
        <w:spacing w:after="0" w:line="72"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In addition to rent payments, the lease agreements contain payments for real estate taxes, insurance, common area maintenance and utilities that are not fixed. The Company accounts for these costs as variable payments and does not include such costs as a lease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The Company’s leases are classified as operating leases, which are included in the Operating lease right-of-use asset, Lease liability – current and Lease liability – long-term on the Company’s Consolidated Balance Sheets. Lease expense is recognized on a straight-line basis over the lease term and is included in Selling and administrative expense in the Consolidated Statements of Operations. 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 Impairment Analysis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Property and equipment are subject to a review for impairment if events or changes in circumstances indicate that the carrying amount of the asset may not be recoverable.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(“ASC 360”) the Company reviewed the long-lived asset groups for impairment as of January 31, 2025.</w:t>
      </w:r>
    </w:p>
    <w:p>
      <w:pPr>
        <w:spacing w:after="0" w:line="68"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During Second Quarter 2024, the Company considered management’s decision to replace the existing information technology infrastructure with an enterprise resource planning (“ERP”) software system within the next 18 to 24 months to be a triggering event. The Company determined that certain long-lived assets, primarily capitalized internal-use software projects and computer software, would no longer be utilized or have future benefit with the planned ERP platform and recognized impairment in the amount of $3.8 million during the 52 weeks ended January 31, 2025, recorded in Other operating expense, net in the Consolidated Statements of Operations.</w:t>
      </w:r>
    </w:p>
    <w:p>
      <w:pPr>
        <w:spacing w:after="0" w:line="75"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 Operated store long-lived asset groups, including Operating right-of-use assets, are regularly reviewed for impairment indicators when the Company Operated store meets Same Store Sales status. A Company Operated store is included in U.S. Same Store Sales calculations when it has been open for at least 14 months. Impairment is assessed at the individual store level which is the lowest level of identifiable cash flows and considers the estimated undiscounted cash flows over the asset’s remaining life. If estimated undiscounted cash flows are insufficient to recover the investment, an impairment loss is recognized equal to the difference between the estimated fair value of the asset and its carrying value, net of salvage, and any costs of disposition. The fair value estimate is generally the discounted amount of estimated store-specific cash flows. During Fiscal 2024 and Fiscal 2023, the Company recognized no impairment. In Fiscal 2022, the Company recognized impairment of $0.5 million for right-of-use assets and property and equipment of Company Operated store locations.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 Assessments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Goodwill and the indefinite-lived trade name intangible asset are tested separately for impairment on an annual basis or whenever events or changes in circumstances indicate that the carrying amount may not be recoverable. Impairment assessments contain multiple uncertainties because the calculation requires management to make assumptions and to apply judgment to estimate future cash flows and asset fair values. If actual results fall short of the Company’s estimates and assumptions used in estimating future cash flows and asset fair values, the Company may incur future impairment charges that could be material.</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 assessments</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In Fiscal 2023, in connection with the preparation of the financial statements for the quarter ended October 27, 2023, the Company considered the decline in the Company’s stock price and market capitalization, as well as the then current market and macroeconomic conditions, to be a triggering event for the U.S. eCommerce and Outfitters reporting units and therefore completed an interim test for impairment of goodwill for these reporting units as of October 27, 2023. The Company tested goodwill for impairment using a one-step quantitative test. The quantitative test compared the reporting unit’s fair value to its carrying value. An impairment was recorded for any excess carrying value above the reporting unit’s fair value, not to exceed the amount of goodwill. The Company estimated fair value of its reporting units using a discounted cash flow model, commonly referred to as the income approach. The income approach used a reporting unit’s projection of estimated operating results and cash flows that was discounted using a weighted-average cost of capital that reflected then current market conditions appropriate to the Company’s reporting unit. The discounted cash flow model used management’s best estimates of economic and market conditions over the projected period using the best information available, including growth rates in revenues, costs and estimates of future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changes in operating margins and cash expenditures. Other significant estimates and assumptions included terminal value growth rates, weighted average cost of capital and changes in future working capital requirements.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testing resulted in goodwill impairment of the remaining $70.4 million and $36.3 million of goodwill allocated to the Company’s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and Outfitters reporting units, respectively.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 impairment assessments</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Company’s indefinite-lived intangible asset is the Lands’ End trade name. The Company reviews the trade name for impairment on an annual basis or whenever events or changes in circumstances indicate the carrying value may not be recoverable. The fair value of the trade name indefinite-lived intangible asset is estimated using the relief from royalty method. The relief from royalty method is based on the assumption that, in lieu of ownership, a firm would be willing to pay a royalty in order to exploit the related benefits of this asset class. The relief from royalty method involves two steps: (1) estimation of reasonable royalty rates for the assets and (2) the application of these royalty rates to a forecasted net revenue stream and discounting the resulting cash flows to determine a present value. The Company multiplied the selected royalty rate by the forecasted net revenue stream to calculate the cost savings (relief from royalty payment) associated with the asset. The cash flows are then discounted to present value using the selected discount rate and compared to the carrying value of the asset.</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impairment of the trade name during any period presented.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$275.0 million ABL Facility includes a $70.0 million sublimit for letters of credit and the maturity date is July 29, 2026. The ABL Facility is available for working capital and other general corporate liquidity needs. There was no balance outstanding as of January 31, 2025 and February 2, 2024. The balance of outstanding letters of credit was $10.9 million and $9.1 million on January 31, 2025 and February 2,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financial instruments in accordance with accounting standards pertaining to fair value measurements. Such standards define fair value and establish a framework for measuring fair value in accordance with GAAP. Under fair value measurement accounting standards, fair value is considered to be the exchange price in an orderly transaction between market participants to sell an asset or transfer a liability at the measurement date. The Company reports or discloses the fair value of financial assets and liabilities based on the fair value hierarchy prescribed by accounting standards for fair value measurements, which prioritizes the inputs to valuation techniques used to measure fair value into three levels.</w:t>
      </w:r>
    </w:p>
    <w:p>
      <w:pPr>
        <w:spacing w:after="0" w:line="75" w:lineRule="exact"/>
        <w:rPr>
          <w:sz w:val="20"/>
          <w:szCs w:val="20"/>
          <w:color w:val="auto"/>
        </w:rPr>
      </w:pPr>
    </w:p>
    <w:p>
      <w:pPr>
        <w:jc w:val="both"/>
        <w:ind w:right="20" w:firstLine="49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accounts receivable. Total accounts receivable, net was $47.8 million and $35.3 million as of January 31, 2025 and February 2, 2024, respectively.</w:t>
      </w:r>
    </w:p>
    <w:p>
      <w:pPr>
        <w:spacing w:after="0" w:line="5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accounts receivable, net, accounts payable, accrued expenses and other current liabilities and revolving long-term borrowings on ABL Facility are reflected in the Consolidated Balance Sheets at cost, which approximates fair value due to the short-term nature of these instruments.</w:t>
      </w:r>
    </w:p>
    <w:p>
      <w:pPr>
        <w:spacing w:after="0" w:line="68"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Long-term debt, net is reflected in the Consolidated Balance Sheets at amortized cost. The fair value of debt was determined utilizing Level 3 valuation techniques as of January 31, 2025 and February 2, 2024. See Note 9, </w:t>
      </w:r>
      <w:r>
        <w:rPr>
          <w:rFonts w:ascii="Times New Roman" w:cs="Times New Roman" w:eastAsia="Times New Roman" w:hAnsi="Times New Roman"/>
          <w:sz w:val="18"/>
          <w:szCs w:val="18"/>
          <w:i w:val="1"/>
          <w:iCs w:val="1"/>
          <w:color w:val="auto"/>
        </w:rPr>
        <w:t>Fair Value of Financial Assets and Liabilities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Translations and Transactions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The Company translates the assets and liabilities of foreign subsidiaries from their respective functional currencies to United States dollars at the appropriate spot rates as of the balance sheet date. Revenue and expenses of operations are translated to United States dollars using weighted average exchange rates during the year. The foreign subsidiaries use the local currency as their functional currency. The effects of foreign currency translation adjustments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included as a component of Accumulated other comprehensive loss in the accompanying Consolidated Statements of Changes in Stockholders’ Equity. Foreign currency translation losses, net, for Fiscal 2024 and Fiscal 2022 total approximately $0.6 million and $4.4 million, respectively. Foreign currency translation gains, net for Fiscal 2023 totaled approximately $1.0 million. The Company recognized a foreign exchange transaction loss of $0.4 million and $1.0 million in Fiscal 2024 and Fiscal 2022, respectively. The Company recognized a foreign exchange transaction gain of $1.0 million in Fiscal 2023. These are recorded in either Cost of sales (excluding depreciation and amortization) or Selling and administrative in the accompanying Consolidated Statements of Operations based on the underlying nature of the transactions giving rise to the gain or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Revenue includes sales of merchandise and delivery revenue related to merchandise sold. Substantially all of the Company’s revenue is recognized when control of product passes to customers, which for the U.S. eCommerce, Europe eCommerce, Outfitters and Third Party distribution channels is when the merchandise is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 fixed percentage price reductions to sales returns, discounts, and other incentives that may vary in amount. Variable amounts are estimated based on an analysis of historical experience and adjusted as better estimates become available.</w:t>
      </w:r>
    </w:p>
    <w:p>
      <w:pPr>
        <w:spacing w:after="0" w:line="8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generates royalty revenue from licensing the right to use its trademarks to third parties. The licensing agreements generally are exclusive to a product category, selling channel and/or geography, have terms in excess of one year, provide for annual guaranteed minimum royalties and, in most cases, include renewal options. In certain agreements, the licensee pays the Company a fulfillment fee for licensed product sold on the Company’s website and fulfilled from the Company’s distribution center. The trademark royalty revenue and fulfillment fee are included in Net revenue and reported in the Licensing distribution channel.</w:t>
      </w:r>
    </w:p>
    <w:p>
      <w:pPr>
        <w:spacing w:after="0" w:line="75"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 exchange for providing these rights, the license agreements require the licensees to pay the Company a trademark royalty based on net sales as defined in the license agreements. The Company recognizes sales-based royalty revenue at the later of (i) when the related sales of the licensed product occur, or (ii) when the performance obligation has been satisfied, when the Company expects the annual guaranteed minimums will be met, where such provisions exist. If a sales-based royalty is not ultimately expected to exceed a contractually guaranteed minimum royalty amount, the minimum is recognized straight-line as revenue over the contractual period, if all other criteria of revenue recognition have been met. In certain licensing agreements, the Company agreed to perform transitional activities, such as marketing, for the licensed products. The Company receives reimbursement for such services at cost. The amount of these reimbursements, which are recorded as a reduction of Selling and administrative expenses in the Consolidated Statements of Operations, for Fiscal 2024 was $9.3 million.</w:t>
      </w:r>
    </w:p>
    <w:p>
      <w:pPr>
        <w:spacing w:after="0" w:line="84"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 taxes assessed by governmental authorities, including value-added and other sales-related taxes, that are imposed on and concurrent with revenue-producing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Contract liabilities consist of payments received in advance of the transfer of control to the customer. As products are delivered and control transfers, the Company recognizes the deferred revenue in Net revenue in the Consolidated Statements of Operations. The following table summarizes the deferred revenue associated with payments received in advance of the transfer of control to the customer reported in Accrued expenses and other current liabilities in the Consolidated Balance Sheets and amounts recognized through Net revenue for each period presented. The majority of deferred revenue as of January 31, 2025 is expected to be recognized in Net revenue in First Quarter 2025, as products are delivered to customers.</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revenue beginning of period</w:t>
            </w: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4,314</w:t>
            </w:r>
          </w:p>
        </w:tc>
        <w:tc>
          <w:tcPr>
            <w:tcW w:w="12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7,484</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recognized in period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(7,270 )</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in period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6,370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4,100</w:t>
            </w: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4,314</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Consolidated Statements of Operations. Prior to their redemption, gift cards are recorded as a liability, included within Accrued expenses and other current liabilities in the Consolidated Balance Sheets. The liability is estimated based on expected breakage that considers historical patterns of redemption. The following table provides the reconciliation of the contract liability related to gift cards:</w:t>
      </w:r>
    </w:p>
    <w:p>
      <w:pPr>
        <w:spacing w:after="0" w:line="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Fiscal 2023</w:t>
            </w:r>
          </w:p>
        </w:tc>
      </w:tr>
      <w:tr>
        <w:trPr>
          <w:trHeight w:val="191"/>
        </w:trPr>
        <w:tc>
          <w:tcPr>
            <w:tcW w:w="6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as of beginning of period</w:t>
            </w: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35,604</w:t>
            </w:r>
          </w:p>
        </w:tc>
        <w:tc>
          <w:tcPr>
            <w:tcW w:w="12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3"/>
              <w:spacing w:after="0" w:line="191" w:lineRule="exact"/>
              <w:rPr>
                <w:sz w:val="20"/>
                <w:szCs w:val="20"/>
                <w:color w:val="auto"/>
              </w:rPr>
            </w:pPr>
            <w:r>
              <w:rPr>
                <w:rFonts w:ascii="Times New Roman" w:cs="Times New Roman" w:eastAsia="Times New Roman" w:hAnsi="Times New Roman"/>
                <w:sz w:val="18"/>
                <w:szCs w:val="18"/>
                <w:color w:val="auto"/>
              </w:rPr>
              <w:t>33,029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2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66,392</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(60,374 )</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(3,443 )</w:t>
            </w: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34,746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35,604</w:t>
            </w: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Refund Liabilities</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Refund liabilities, primarily associated with product sales returns and retrospective volume rebates, represent variable consideration and are estimated and recorded as a reduction to Net revenue based on historical experience. As of January 31, 2025 and February 2, 2024, $15.2 million and $21.6 million, respectively, of refund liabilities, primarily associated with estimated product returns, were recorded in Accrued expenses and other current liabilities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Cost of sales are comprised principally of the costs of merchandise sold, inbound shipping and handling, duty, warehousing and distribution (including receiving, picking, packing, store delivery and value-added costs), customer shipping and handling costs and physical inventory losses. Depreciation and amortization are not included in the Company’s Cost of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Expenses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 xml:space="preserve">Selling and administrative expenses are comprised principally of payroll and benefits costs, marketing, information technology expenses, third-party services, occupancy costs of Company Operated stores and corporate facilities, and other administrative expenses. All stock-based compensation is recorded in Selling and administrative expenses. See Note 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Deferred income tax assets and liabilities are based on the estimated future tax effects of differences between the financial and tax basis of assets and liabilities based on currently enacted tax laws. The tax balances and income tax expense recognized are based on management’s interpretation of the tax laws of multiple jurisdictions. Income tax expense also reflects best estimates and assumptions regarding, among other things, the level of future taxable income and tax planning. Future changes in tax laws, changes in projected levels of taxable income, tax planning and adoption and implementation of new accounting standards could impact the effective tax rate and tax balances recorded.</w:t>
      </w:r>
    </w:p>
    <w:p>
      <w:pPr>
        <w:spacing w:after="0" w:line="75"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Tax positions are recognized when they are more likely than not to be sustained upon examination. The amount recognized is measured as the largest amount of benefit that is more likely than not to be realized upon settlement. The Company is subject to periodic audits by the United States Internal Revenue Service and other state and local taxing authorities. These audits may challenge certain of the Company’s tax positions such as the timing and amount of income and deductions and the allocation of taxable income to various tax jurisdictions. The Company evaluates its tax positions and establishes liabilities in accordance with the applicable accounting guidance on uncertainty in income taxes. These tax uncertainties are reviewed as facts and circumstances change and are adjusted accordingly. This requires significant management judgment in estimating final outcomes. Interest and penalties are classified as Income tax expense in the Consolidated Statements of Operations.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 xml:space="preserve">The Company performed an evaluation over its deferred tax assets and determined that a valuation allowance is considered necessary for certain jurisdictions.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details on the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has a self-insured plan for health and welfare benefits and provides an accrual to cover the obligation. The accrual for the self-insured liability is based on claims filed and an estimate of claims incurred but not yet reported. The Company considers a number of factors, including historical claims information, when determining the amount of the accrual. Costs related to the administration of the plan and related claims are expensed as incurred. Total expenses, net of employee contributions, were $21.8 million, $18.9 million and $17.7 million for Fiscal 2024, Fiscal 2023 and Fiscal 2022, respectively.</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Company also has a self-insured plan for certain costs related to workers’ compensation. The Company obtains third-party insurance coverage to limit exposure to this workers’ compensation self-insured risk.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 has a 401(k) retirement plan, which covers most regular employees and allows them to make contributions. The Company also provides a matching contribution on a portion of the employee contributions. Total expenses incurred under this plan were $3.7 million for Fiscal 2024 and $3.9 million for Fiscal 2023 and Fiscal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 xml:space="preserve">Other comprehensive income (loss) encompasses all changes in equity other than those arising from transactions with stockholders and is comprised solely of foreign currency translation adjustments. The Company’s foreign subsidiaries use their local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transactions gains or losses are reclassified into net income. During Fiscal 2023, the Company recognized a net gain of $0.4 million of cumulative foreign currency translation adjustments related to the substantial liquidation of Lands’ End Japan.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7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Beginning balance: Accumulated other comprehensive loss (net of</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tax of $4,271, $4,525, and $3,361,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$(37),</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$(348), and $1,164, respectively)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(4,380 )</w:t>
            </w: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foreign currency translation gain to income (net</w:t>
            </w:r>
          </w:p>
        </w:tc>
        <w:tc>
          <w:tcPr>
            <w:tcW w:w="140" w:type="dxa"/>
            <w:vAlign w:val="bottom"/>
          </w:tcPr>
          <w:p>
            <w:pPr>
              <w:spacing w:after="0"/>
              <w:rPr>
                <w:sz w:val="18"/>
                <w:szCs w:val="18"/>
                <w:color w:val="auto"/>
              </w:rPr>
            </w:pPr>
          </w:p>
        </w:tc>
        <w:tc>
          <w:tcPr>
            <w:tcW w:w="10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 of $0, $94, and $0, respectively)</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Ending balance: Accumulated other comprehensive loss (net of tax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(16,669 )</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(16,069 )</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(17,022 )</w:t>
            </w:r>
          </w:p>
        </w:tc>
        <w:tc>
          <w:tcPr>
            <w:tcW w:w="0" w:type="dxa"/>
            <w:vAlign w:val="bottom"/>
          </w:tcPr>
          <w:p>
            <w:pPr>
              <w:spacing w:after="0"/>
              <w:rPr>
                <w:sz w:val="1"/>
                <w:szCs w:val="1"/>
                <w:color w:val="auto"/>
              </w:rPr>
            </w:pPr>
          </w:p>
        </w:tc>
      </w:tr>
      <w:tr>
        <w:trPr>
          <w:trHeight w:val="194"/>
        </w:trPr>
        <w:tc>
          <w:tcPr>
            <w:tcW w:w="5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$4,234, $4,271, and $4,525, respectively)</w:t>
            </w: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499"/>
        <w:spacing w:after="0" w:line="253"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is comprised of both Deferred Awards and Performance Awards. Deferred awards only require each recipient to complete a service period for the awards to be earned. The fair value of Deferred Awards is based on the closing price of the Company’s common stock on the grant date. Performance awards have, in addition to a service agreement, financial performance criteria or stock performance criteria that must be achieved for the awards to be earned. The Performance Awards, granted in Fiscal 2023 are also subject to a relative total shareholder return (TSR) modifier. The fair value of Performance Awards granted prior to Fiscal 2023, as well as the portion of the Fiscal 2024 Performance Awards with financial performance criteria, are based on the closing price of the Company’s common stock on the grant date. The fair value for both the Performance Awards granted in Fiscal 2024 with stock performance criteria and the Performance Awards granted in Fiscal 2023 with a relative TSR modifier are based on the Monte Carlo simulation model. 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w:t>
      </w:r>
    </w:p>
    <w:p>
      <w:pPr>
        <w:spacing w:after="0" w:line="86"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cost net of estimated forfeitures and revises the estimated forfeitures in subsequent periods if actual forfeitures differ from the estimates. The Company estimates the forfeiture rate based on historical data as well as expected future behavior. Stock-based compensation is recorded in Selling and administrative expense in the Consolidated Statements of Operations over the period in which the employee is required to provide service in exchange for the Deferred Awards and Option awards and over the applicable performance period for Performance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numerator for both basic and diluted EPS is net income (loss) attributable to the Company. The denominator for basic EPS is based upon the number of weighted average shares of the Company’s common stock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during the reporting periods. The denominator for diluted EPS is based upon the number of weighted average shares of the Company’s common stock and common stock equivalents outstanding during the reporting periods using the treasury stock method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EPS: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0" w:type="dxa"/>
            <w:vAlign w:val="bottom"/>
          </w:tcPr>
          <w:p>
            <w:pPr>
              <w:spacing w:after="0"/>
              <w:rPr>
                <w:sz w:val="1"/>
                <w:szCs w:val="1"/>
                <w:color w:val="auto"/>
              </w:rPr>
            </w:pPr>
          </w:p>
        </w:tc>
      </w:tr>
      <w:tr>
        <w:trPr>
          <w:trHeight w:val="191"/>
        </w:trPr>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6,233</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(130,684 )</w:t>
            </w:r>
          </w:p>
        </w:tc>
        <w:tc>
          <w:tcPr>
            <w:tcW w:w="16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(12,530 )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33,108</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stock awards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31,664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31,970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33,108</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234"/>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(0.38 )</w:t>
            </w:r>
          </w:p>
        </w:tc>
        <w:tc>
          <w:tcPr>
            <w:tcW w:w="0" w:type="dxa"/>
            <w:vAlign w:val="bottom"/>
          </w:tcPr>
          <w:p>
            <w:pPr>
              <w:spacing w:after="0"/>
              <w:rPr>
                <w:sz w:val="1"/>
                <w:szCs w:val="1"/>
                <w:color w:val="auto"/>
              </w:rPr>
            </w:pPr>
          </w:p>
        </w:tc>
      </w:tr>
      <w:tr>
        <w:trPr>
          <w:trHeight w:val="41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earnings (loss) per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 calculation</w:t>
            </w:r>
          </w:p>
        </w:tc>
        <w:tc>
          <w:tcPr>
            <w:tcW w:w="1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40" w:firstLine="499"/>
        <w:spacing w:after="0" w:line="375" w:lineRule="auto"/>
        <w:rPr>
          <w:sz w:val="20"/>
          <w:szCs w:val="20"/>
          <w:color w:val="auto"/>
        </w:rPr>
      </w:pPr>
      <w:r>
        <w:rPr>
          <w:rFonts w:ascii="Times New Roman" w:cs="Times New Roman" w:eastAsia="Times New Roman" w:hAnsi="Times New Roman"/>
          <w:sz w:val="18"/>
          <w:szCs w:val="18"/>
          <w:color w:val="auto"/>
        </w:rPr>
        <w:t xml:space="preserve">Stock awards are considered anti-dilutive based on the application of the treasury stock method or in the event of a net loss. </w:t>
      </w:r>
      <w:r>
        <w:rPr>
          <w:rFonts w:ascii="Times New Roman" w:cs="Times New Roman" w:eastAsia="Times New Roman" w:hAnsi="Times New Roman"/>
          <w:sz w:val="18"/>
          <w:szCs w:val="18"/>
          <w:b w:val="1"/>
          <w:bCs w:val="1"/>
          <w:color w:val="auto"/>
        </w:rPr>
        <w:t>Repurchases of Common Stock</w:t>
      </w:r>
    </w:p>
    <w:p>
      <w:pPr>
        <w:spacing w:after="0" w:line="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 xml:space="preserve">Shares of the Company’s common stock may be repurchased by the Company through open market transactions.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 The Company retired all shares that were purchased through the 2024 Share Repurchase Program and the 2022 Share Repurchase Program. See Note 6,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The Company adopted ASU 2023-07 in Fiscal 2024. See Note 13, </w:t>
      </w:r>
      <w:r>
        <w:rPr>
          <w:rFonts w:ascii="Times New Roman" w:cs="Times New Roman" w:eastAsia="Times New Roman" w:hAnsi="Times New Roman"/>
          <w:sz w:val="18"/>
          <w:szCs w:val="18"/>
          <w:i w:val="1"/>
          <w:iCs w:val="1"/>
          <w:color w:val="auto"/>
        </w:rPr>
        <w:t>Segment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9"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Under ASU 2024-03, a public entity would be required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Consolidated Financial Statement disclosures.</w:t>
      </w:r>
    </w:p>
    <w:p>
      <w:pPr>
        <w:spacing w:after="0" w:line="75" w:lineRule="exact"/>
        <w:rPr>
          <w:sz w:val="20"/>
          <w:szCs w:val="20"/>
          <w:color w:val="auto"/>
        </w:rPr>
      </w:pPr>
    </w:p>
    <w:p>
      <w:pPr>
        <w:jc w:val="both"/>
        <w:ind w:firstLine="49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includes requirements that an entity disclose specific categories in the rate reconciliation and provide additional information for reconciling items that are greater than five percent of the amount computed by multiplying pretax income (or loss) by the applicable statutory income rate. The standard also requires that entities disclose income (or loss) from continuing operations before income tax expense (or benefit) and income tax expense (or benefit) each disaggregated between domestic and foreign. ASU 2023-09 is effective for the annual periods beginning after December 15, 2024. The Company is currently assessing the impact of ASU 2023-09 on the Company’s Consolidated Financial Statement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Company’s $275.0 million committed revolving ABL Facility includes a $70.0 million sublimit for letters of credit and is available for working capital and other general corporate liquidity needs and matures on July 29, 2026. The amount available to borrow is the lesser of (1) the Aggregate Commitments of $275.0 million (“ABL Facility Limit”) or (2) the Borrowing Base or Loan Cap which is calculated from Eligible Inventory, Trade Receivables and Credit Card Receivables, all foregoing capitalized terms not defined herein are as defined in the ABL Facility.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ABL Facility borrowing availability:</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ABL Facility limit</w:t>
            </w: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275,000</w:t>
            </w:r>
          </w:p>
        </w:tc>
        <w:tc>
          <w:tcPr>
            <w:tcW w:w="32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Borrowing Base</w:t>
            </w:r>
          </w:p>
        </w:tc>
        <w:tc>
          <w:tcPr>
            <w:tcW w:w="10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140,202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176,311</w:t>
            </w:r>
          </w:p>
        </w:tc>
        <w:tc>
          <w:tcPr>
            <w:tcW w:w="0" w:type="dxa"/>
            <w:vAlign w:val="bottom"/>
          </w:tcPr>
          <w:p>
            <w:pPr>
              <w:spacing w:after="0"/>
              <w:rPr>
                <w:sz w:val="1"/>
                <w:szCs w:val="1"/>
                <w:color w:val="auto"/>
              </w:rPr>
            </w:pP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100" w:type="dxa"/>
            <w:vAlign w:val="bottom"/>
          </w:tcPr>
          <w:p>
            <w:pPr>
              <w:spacing w:after="0"/>
              <w:rPr>
                <w:sz w:val="24"/>
                <w:szCs w:val="24"/>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10,888</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9,070</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utilization at end of period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10,888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9,070</w:t>
            </w:r>
          </w:p>
        </w:tc>
        <w:tc>
          <w:tcPr>
            <w:tcW w:w="0" w:type="dxa"/>
            <w:vAlign w:val="bottom"/>
          </w:tcPr>
          <w:p>
            <w:pPr>
              <w:spacing w:after="0"/>
              <w:rPr>
                <w:sz w:val="1"/>
                <w:szCs w:val="1"/>
                <w:color w:val="auto"/>
              </w:rPr>
            </w:pPr>
          </w:p>
        </w:tc>
      </w:tr>
      <w:tr>
        <w:trPr>
          <w:trHeight w:val="425"/>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ABL Facility borrowing availability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129,314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167,241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Effective with the Fourth Amendment to the ABL Facility executed May 12, 2023, the benchmark interest rate was changed from LIBOR to SOFR plus an adjustment of 0.10% for all loans (“ABL Adjusted SOFR”). Loan interest rates are selected at the borrower’s election, is either (1) ABL Adjusted SOFR, or (2) a base rate which is the greater of (a) the federal funds rate plus 0.50%, (b) the one-month ABL Adjusted SOFR rate plus 1.00%, or (c) the Wells Fargo “prime rate”. The borrowing margin for ABL Adjusted SOFR loans is (i) less than $95.0 million, 1.25%, (ii) equal to or greater than $95.0 million but less than $180.0 million, 1.50%, and (iii) greater than or equal to $180.0 million, 1.75%. For base rate loans, the borrowing margin is (i) less than $95.0 million, 0.50%, (ii) equal to or greater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than $95.0 million but less than $180.0 million, 0.75%, and (iii) greater than or equal to $180.0 million, 1.00% (“Applicable Borrowing Margin”). The Applicable Borrowing Margin for all loans is based upon the average daily total loans outstanding for the previous quarter. The Fourth Amendment had no material interest rate impact.</w:t>
      </w:r>
    </w:p>
    <w:p>
      <w:pPr>
        <w:spacing w:after="0" w:line="68"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The ABL Facility fees include (i) commitment fees of 0.25% based upon the average daily unused commitment (aggregate commitment less loans and letter of credit outstanding) under the ABL Facility for the preceding fiscal quarter, (ii) customary letter of credit fees and (iii) customary annual agent fees. As of January 31, 2025 and February 2, 2024, the Company had no borrowings outstanding under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December 29, 2023, the Company entered into the Current Term Loan Facility which provides borrowings of $260.0 million, the proceeds of which were used to repay all of the indebtedness under the Former Term Loan Facility and to pay fees and expenses in connection with the financing. Origination costs, including a 3% original issue discount of $7.8 million and debt origination fees of $3.8 million, were incurred in connection with entering into the Current Term Loan Facility. The original issue discount and the debt origination fees are presented as a direct deduction from the carrying value of the Current Term Loan Facility and Former Term Loan Facility and are amortized over the term of the loan to Interest expense in the Consolidated Statements of Operations.</w:t>
      </w:r>
    </w:p>
    <w:p>
      <w:pPr>
        <w:spacing w:after="0" w:line="79"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The Current Term Loan Facility will mature on December 29, 2028, and amortizes at a rate equal to 1.25% per quarter. Depending upon the Company’s Total Leverage Ratio, as defined in the Current Term Loan Facility, mandatory prepayments in an amount equal to a percentage of the Company’s excess cash flows in each fiscal year, ranging from 0% to 75% are required. The Current Term Loan Facility also has typical prepayment requirements for the proceeds of certain asset sales, casualty events and extraordinary receipts. Voluntary prepayment and certain mandatory prepayments made (i) between December 30, 2024 and December 29, 2025 would result in a prepayment premium equal to 2% of the principal amount of the loan prepaid, (ii) between December 30, 2025 and December 29, 2026, would result in a prepayment premium equal to 1% of the principal amount of the loan prepaid, (iii) between December 30, 2026 and December 29, 2027, would result in a prepayment premium equal to 0.5% of the principal amount of the loan prepaid and (iv) thereafter no prepayment premium is due.</w:t>
      </w:r>
    </w:p>
    <w:p>
      <w:pPr>
        <w:spacing w:after="0" w:line="84"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As a result of the Former Term Loan Facility repayment before the scheduled maturity date, the transaction was subject to a 1% prepayment premium of $2.3 million. Additionally, the Company recorded $4.4 million for the write off of unamortized original issue discount and debt issuance costs of the Former Term Loan Facility. These charges resulted in a loss on extinguishment of debt of $6.7 million in Fiscal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1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191"/>
        </w:trPr>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Current Term Loan Facility</w:t>
            </w: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247,000</w:t>
            </w:r>
          </w:p>
        </w:tc>
        <w:tc>
          <w:tcPr>
            <w:tcW w:w="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12.66 %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8"/>
                <w:szCs w:val="18"/>
                <w:color w:val="auto"/>
              </w:rPr>
              <w:t>260,000</w:t>
            </w:r>
          </w:p>
        </w:tc>
        <w:tc>
          <w:tcPr>
            <w:tcW w:w="80" w:type="dxa"/>
            <w:vAlign w:val="bottom"/>
          </w:tcPr>
          <w:p>
            <w:pPr>
              <w:spacing w:after="0"/>
              <w:rPr>
                <w:sz w:val="16"/>
                <w:szCs w:val="16"/>
                <w:color w:val="auto"/>
              </w:rPr>
            </w:pPr>
          </w:p>
        </w:tc>
        <w:tc>
          <w:tcPr>
            <w:tcW w:w="1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13.70 %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13,000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9,112</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10,830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224,888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236,170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99"/>
        <w:spacing w:after="0" w:line="255" w:lineRule="auto"/>
        <w:rPr>
          <w:sz w:val="20"/>
          <w:szCs w:val="20"/>
          <w:color w:val="auto"/>
        </w:rPr>
      </w:pPr>
      <w:r>
        <w:rPr>
          <w:rFonts w:ascii="Times New Roman" w:cs="Times New Roman" w:eastAsia="Times New Roman" w:hAnsi="Times New Roman"/>
          <w:sz w:val="18"/>
          <w:szCs w:val="18"/>
          <w:color w:val="auto"/>
        </w:rPr>
        <w:t>The interest rates per annum applicable to the loans under the Current Term Loan Facility are based on a fluctuating rate of interest equal to, at the Company’s election, either (1) Term Loan Adjusted SOFR loan (subject to a 2% floor) plus an applicable margin, or (2) an alternative base rate loan plus an applicable margin. The applicable margin is based on the Company’s net leverage and will be, (i) for Term Loan Adjusted SOFR loans, 8.25% per annum if the total leverage ratio is greater than or equal to 2.75:1.00, 8.00% per annum if the total leverage ratio is less than 2.75:1.00 but greater than or equal to 2.25:1.00, and 7.75% per annum if the total leverage ratio is less than 2.25:1.00 and (ii) for base rate loans, 7.25% per annum if the total leverage ratio is greater than or equal to 2.75:1.00, 7.00% per annum if the total leverage ratio is less than 2.75:1.00 but greater than or equal to 2.25:1.00, and 6.75% per annum if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leverage ratio is less than 2.25:1.00. In each case, the net leverage is determined as of the last day of each applicable measurement period.</w:t>
      </w:r>
    </w:p>
    <w:p>
      <w:pPr>
        <w:spacing w:after="0" w:line="117"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Effective with the First Amendment to the Former Term Loan Facility executed June 22, 2023, the interest rate benchmark changed from LIBOR to Term Loan Adjusted SOFR. The annual interest rate applicable to the loans under the Former Term Loan Facility was based on a fluctuating rate of interest measured by reference to, at the borrower’s election, either (1) a Term Loan Adjusted SOFR rate plus 9.75% or (2) an alternative base rate (which was the greater of (i) the prime rate published in the Wall Street Journal, (ii) the federal funds rate, which was to be no lower than 0.00% plus ½ of 1.00%, or (iii) the one month Term Loan Adjusted SOFR rate plus 1.00% per annum) plus 8.75%.</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Both the Current Term Loan Facility and the Former Term Loan Facility contain customary agency fees.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Amortization and Prepayments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ABL Facility maturity date is July 29, 2026.</w:t>
      </w:r>
    </w:p>
    <w:p>
      <w:pPr>
        <w:spacing w:after="0" w:line="117" w:lineRule="exact"/>
        <w:rPr>
          <w:sz w:val="20"/>
          <w:szCs w:val="20"/>
          <w:color w:val="auto"/>
        </w:rPr>
      </w:pPr>
    </w:p>
    <w:p>
      <w:pPr>
        <w:jc w:val="both"/>
        <w:ind w:firstLine="494"/>
        <w:spacing w:after="0" w:line="254" w:lineRule="auto"/>
        <w:rPr>
          <w:sz w:val="20"/>
          <w:szCs w:val="20"/>
          <w:color w:val="auto"/>
        </w:rPr>
      </w:pPr>
      <w:r>
        <w:rPr>
          <w:rFonts w:ascii="Times New Roman" w:cs="Times New Roman" w:eastAsia="Times New Roman" w:hAnsi="Times New Roman"/>
          <w:sz w:val="18"/>
          <w:szCs w:val="18"/>
          <w:color w:val="auto"/>
        </w:rPr>
        <w:t>The Current Term Loan Facility will mature on December 29, 2028, will amortize at a rate equal to 1.25% per quarter. Depending upon the Company’s Total Leverage Ratio, as defined in the Current Term Loan Facility, mandatory prepayments in an amount equal to a percentage of the Company’s excess cash flows in each fiscal year, ranging from 0% to 75% are required. The Current Term Loan Facility also has typical prepayment requirements for the proceeds of certain asset sales, casualty events and extraordinary receipts. Voluntary prepayment and certain mandatory prepayments made (i) between December 30, 2024 and December 29, 2025 would result in a prepayment premium equal to 2% of the principal amount of the loan prepaid, (ii) between December 30, 2025 and December 29, 2026, would result in a prepayment premium equal to 1% of the principal amount of the loan prepaid, (iii) between December 30, 2026 and December 29, 2027, would result in a prepayment premium equal to 0.5% of the principal amount of the loan prepaid and (iv) thereafter no prepayment premium is due.</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aggregate scheduled maturities of the Debt Facilities as of January 31, 2025 are as follows: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 w:lineRule="exact"/>
        <w:rPr>
          <w:sz w:val="20"/>
          <w:szCs w:val="20"/>
          <w:color w:val="auto"/>
        </w:rPr>
      </w:pPr>
    </w:p>
    <w:tbl>
      <w:tblPr>
        <w:tblLayout w:type="fixed"/>
        <w:tblInd w:w="2260" w:type="dxa"/>
        <w:tblCellMar>
          <w:top w:w="0" w:type="dxa"/>
          <w:left w:w="0" w:type="dxa"/>
          <w:bottom w:w="0" w:type="dxa"/>
          <w:right w:w="0" w:type="dxa"/>
        </w:tblCellMar>
      </w:tblPr>
      <w:tr>
        <w:trPr>
          <w:trHeight w:val="191"/>
        </w:trPr>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2025</w:t>
            </w:r>
          </w:p>
        </w:tc>
        <w:tc>
          <w:tcPr>
            <w:tcW w:w="1320" w:type="dxa"/>
            <w:vAlign w:val="bottom"/>
            <w:tcBorders>
              <w:top w:val="single" w:sz="8" w:color="auto"/>
            </w:tcBorders>
          </w:tcPr>
          <w:p>
            <w:pPr>
              <w:jc w:val="right"/>
              <w:ind w:right="1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208,000</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247,000</w:t>
            </w:r>
          </w:p>
        </w:tc>
      </w:tr>
      <w:tr>
        <w:trPr>
          <w:trHeight w:val="20"/>
        </w:trPr>
        <w:tc>
          <w:tcPr>
            <w:tcW w:w="35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Security</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All obligations under the Debt Facilities are unconditionally guaranteed by Lands’ End, Inc. and, subject to certain exceptions, each of its existing and future direct and indirect subsidiaries. The ABL Facility is secured by a first priority security interest in certain working capital of the borrowers and guarantors consisting primarily of accounts receivable and inventory. The Current Term Loan Facility is also secured by a second priority security interest in the same collateral, with certain exceptions.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Current Term Loan Facility is also secured by a first priority security interest in certain property and assets, including certain fixed assets such as real estate, stock of subsidiaries and intellectual property, in each case, subject to certain exceptions. The ABL Facility is also secured by a second priority interest in the same collateral, with certain exceptions.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121"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Subject to specified exceptions, the Debt Facilities contain various representations and warranties and restrictive covenants that, among other things, restrict Lands’ End, Inc.’s and its subsidiaries’ ability to incur indebtedness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(including guarantees), grant liens, make investments, make dividends or distributions with respect to capital stock, make prepayments on other indebtedness, engage in mergers or change the nature of their business.</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 Current Term Loan Facility contains financial covenants, including a quarterly maximum total leverage ratio test and a monthly minimum liquidity test.</w:t>
      </w:r>
    </w:p>
    <w:p>
      <w:pPr>
        <w:spacing w:after="0" w:line="54"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$15.0 million, the Company will be required to comply with a minimum fixed charge coverage ratio of 1.0 to 1.0.</w:t>
      </w:r>
    </w:p>
    <w:p>
      <w:pPr>
        <w:spacing w:after="0" w:line="54"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Debt Facilities contain certain affirmative covenants, including reporting requirements such as delivery of financial statements, certificates and notices of certain events, maintaining insurance and providing additional guarantees and collateral in certain circumstances.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31, 2025, the Company was in compliance with its financial covenants in the Debt Facilities.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Debt Facilities include customary events of default including non-payment of principal, interest or fees, violation of covenants, inaccuracy of representations or warranties, cross defaults related to certain other material indebtedness, bankruptcy and insolvency events, invalidity or impairment of guarantees or security interests, material judgments and change of control.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components of lease expense, primarily related to Company Operated stores, which is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 in the Consolidated Statements of Operations: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191"/>
        </w:trPr>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
              <w:spacing w:after="0" w:line="191" w:lineRule="exact"/>
              <w:rPr>
                <w:sz w:val="20"/>
                <w:szCs w:val="20"/>
                <w:color w:val="auto"/>
              </w:rPr>
            </w:pPr>
            <w:r>
              <w:rPr>
                <w:rFonts w:ascii="Times New Roman" w:cs="Times New Roman" w:eastAsia="Times New Roman" w:hAnsi="Times New Roman"/>
                <w:sz w:val="18"/>
                <w:szCs w:val="18"/>
                <w:color w:val="auto"/>
              </w:rPr>
              <w:t>7,466</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2,714</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8,912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10,180</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cost was $1.4 million for Fiscal 2024. Short-term lease cost was not material for Fiscal 2023 or Fiscal 2022.</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($'s in thousands)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Borders>
              <w:bottom w:val="single" w:sz="8" w:color="auto"/>
            </w:tcBorders>
            <w:gridSpan w:val="4"/>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120" w:type="dxa"/>
            <w:vAlign w:val="bottom"/>
          </w:tcPr>
          <w:p>
            <w:pPr>
              <w:spacing w:after="0"/>
              <w:rPr>
                <w:sz w:val="15"/>
                <w:szCs w:val="15"/>
                <w:color w:val="auto"/>
              </w:rPr>
            </w:pPr>
          </w:p>
        </w:tc>
      </w:tr>
      <w:tr>
        <w:trPr>
          <w:trHeight w:val="191"/>
        </w:trPr>
        <w:tc>
          <w:tcPr>
            <w:tcW w:w="638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jc w:val="right"/>
              <w:ind w:right="2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2"/>
              <w:spacing w:after="0" w:line="191" w:lineRule="exact"/>
              <w:rPr>
                <w:sz w:val="20"/>
                <w:szCs w:val="20"/>
                <w:color w:val="auto"/>
              </w:rPr>
            </w:pPr>
            <w:r>
              <w:rPr>
                <w:rFonts w:ascii="Times New Roman" w:cs="Times New Roman" w:eastAsia="Times New Roman" w:hAnsi="Times New Roman"/>
                <w:sz w:val="18"/>
                <w:szCs w:val="18"/>
                <w:color w:val="auto"/>
              </w:rPr>
              <w:t>20,373</w:t>
            </w:r>
          </w:p>
        </w:tc>
        <w:tc>
          <w:tcPr>
            <w:tcW w:w="1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12"/>
              <w:spacing w:after="0" w:line="191" w:lineRule="exact"/>
              <w:rPr>
                <w:sz w:val="20"/>
                <w:szCs w:val="20"/>
                <w:color w:val="auto"/>
              </w:rPr>
            </w:pPr>
            <w:r>
              <w:rPr>
                <w:rFonts w:ascii="Times New Roman" w:cs="Times New Roman" w:eastAsia="Times New Roman" w:hAnsi="Times New Roman"/>
                <w:sz w:val="18"/>
                <w:szCs w:val="18"/>
                <w:color w:val="auto"/>
              </w:rPr>
              <w:t>23,438</w:t>
            </w:r>
          </w:p>
        </w:tc>
        <w:tc>
          <w:tcPr>
            <w:tcW w:w="1120" w:type="dxa"/>
            <w:vAlign w:val="bottom"/>
          </w:tcPr>
          <w:p>
            <w:pPr>
              <w:spacing w:after="0"/>
              <w:rPr>
                <w:sz w:val="16"/>
                <w:szCs w:val="16"/>
                <w:color w:val="auto"/>
              </w:rPr>
            </w:pPr>
          </w:p>
        </w:tc>
      </w:tr>
      <w:tr>
        <w:trPr>
          <w:trHeight w:val="216"/>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40" w:type="dxa"/>
            <w:vAlign w:val="bottom"/>
          </w:tcPr>
          <w:p>
            <w:pPr>
              <w:spacing w:after="0"/>
              <w:rPr>
                <w:sz w:val="18"/>
                <w:szCs w:val="18"/>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6,024</w:t>
            </w:r>
          </w:p>
        </w:tc>
        <w:tc>
          <w:tcPr>
            <w:tcW w:w="1120" w:type="dxa"/>
            <w:vAlign w:val="bottom"/>
          </w:tcPr>
          <w:p>
            <w:pPr>
              <w:spacing w:after="0"/>
              <w:rPr>
                <w:sz w:val="18"/>
                <w:szCs w:val="18"/>
                <w:color w:val="auto"/>
              </w:rPr>
            </w:pPr>
          </w:p>
        </w:tc>
      </w:tr>
      <w:tr>
        <w:trPr>
          <w:trHeight w:val="216"/>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40" w:type="dxa"/>
            <w:vAlign w:val="bottom"/>
          </w:tcPr>
          <w:p>
            <w:pPr>
              <w:spacing w:after="0"/>
              <w:rPr>
                <w:sz w:val="18"/>
                <w:szCs w:val="18"/>
                <w:color w:val="auto"/>
              </w:rPr>
            </w:pP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22,952</w:t>
            </w:r>
          </w:p>
        </w:tc>
        <w:tc>
          <w:tcPr>
            <w:tcW w:w="1120" w:type="dxa"/>
            <w:vAlign w:val="bottom"/>
          </w:tcPr>
          <w:p>
            <w:pPr>
              <w:spacing w:after="0"/>
              <w:rPr>
                <w:sz w:val="18"/>
                <w:szCs w:val="18"/>
                <w:color w:val="auto"/>
              </w:rPr>
            </w:pPr>
          </w:p>
        </w:tc>
      </w:tr>
      <w:tr>
        <w:trPr>
          <w:trHeight w:val="216"/>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Pr>
          <w:p>
            <w:pPr>
              <w:spacing w:after="0"/>
              <w:rPr>
                <w:sz w:val="18"/>
                <w:szCs w:val="18"/>
                <w:color w:val="auto"/>
              </w:rPr>
            </w:pPr>
          </w:p>
        </w:tc>
      </w:tr>
      <w:tr>
        <w:trPr>
          <w:trHeight w:val="234"/>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120" w:type="dxa"/>
            <w:vAlign w:val="bottom"/>
          </w:tcPr>
          <w:p>
            <w:pPr>
              <w:spacing w:after="0"/>
              <w:rPr>
                <w:sz w:val="20"/>
                <w:szCs w:val="20"/>
                <w:color w:val="auto"/>
              </w:rPr>
            </w:pPr>
          </w:p>
        </w:tc>
      </w:tr>
      <w:tr>
        <w:trPr>
          <w:trHeight w:val="473"/>
        </w:trPr>
        <w:tc>
          <w:tcPr>
            <w:tcW w:w="6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38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120" w:type="dxa"/>
            <w:vAlign w:val="bottom"/>
          </w:tcPr>
          <w:p>
            <w:pPr>
              <w:spacing w:after="0"/>
              <w:rPr>
                <w:sz w:val="24"/>
                <w:szCs w:val="24"/>
                <w:color w:val="auto"/>
              </w:rPr>
            </w:pPr>
          </w:p>
        </w:tc>
      </w:tr>
      <w:tr>
        <w:trPr>
          <w:trHeight w:val="191"/>
        </w:trPr>
        <w:tc>
          <w:tcPr>
            <w:tcW w:w="638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9"/>
              <w:spacing w:after="0" w:line="191" w:lineRule="exact"/>
              <w:rPr>
                <w:sz w:val="20"/>
                <w:szCs w:val="20"/>
                <w:color w:val="auto"/>
              </w:rPr>
            </w:pPr>
            <w:r>
              <w:rPr>
                <w:rFonts w:ascii="Times New Roman" w:cs="Times New Roman" w:eastAsia="Times New Roman" w:hAnsi="Times New Roman"/>
                <w:sz w:val="18"/>
                <w:szCs w:val="18"/>
                <w:color w:val="auto"/>
              </w:rPr>
              <w:t>7,980</w:t>
            </w:r>
          </w:p>
        </w:tc>
        <w:tc>
          <w:tcPr>
            <w:tcW w:w="12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8,060</w:t>
            </w:r>
          </w:p>
        </w:tc>
        <w:tc>
          <w:tcPr>
            <w:tcW w:w="120" w:type="dxa"/>
            <w:vAlign w:val="bottom"/>
          </w:tcPr>
          <w:p>
            <w:pPr>
              <w:spacing w:after="0"/>
              <w:rPr>
                <w:sz w:val="16"/>
                <w:szCs w:val="16"/>
                <w:color w:val="auto"/>
              </w:rPr>
            </w:pPr>
          </w:p>
        </w:tc>
        <w:tc>
          <w:tcPr>
            <w:tcW w:w="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line="191" w:lineRule="exact"/>
              <w:rPr>
                <w:sz w:val="20"/>
                <w:szCs w:val="20"/>
                <w:color w:val="auto"/>
              </w:rPr>
            </w:pPr>
            <w:r>
              <w:rPr>
                <w:rFonts w:ascii="Times New Roman" w:cs="Times New Roman" w:eastAsia="Times New Roman" w:hAnsi="Times New Roman"/>
                <w:sz w:val="18"/>
                <w:szCs w:val="18"/>
                <w:color w:val="auto"/>
              </w:rPr>
              <w:t>9,154</w:t>
            </w:r>
          </w:p>
        </w:tc>
        <w:tc>
          <w:tcPr>
            <w:tcW w:w="1120" w:type="dxa"/>
            <w:vAlign w:val="bottom"/>
          </w:tcPr>
          <w:p>
            <w:pPr>
              <w:spacing w:after="0"/>
              <w:rPr>
                <w:sz w:val="16"/>
                <w:szCs w:val="16"/>
                <w:color w:val="auto"/>
              </w:rPr>
            </w:pPr>
          </w:p>
        </w:tc>
      </w:tr>
      <w:tr>
        <w:trPr>
          <w:trHeight w:val="216"/>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Operating lease right-of-use-assets (reversal) obtained in exchange for</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lease liabilities</w:t>
            </w:r>
          </w:p>
        </w:tc>
        <w:tc>
          <w:tcPr>
            <w:tcW w:w="140" w:type="dxa"/>
            <w:vAlign w:val="bottom"/>
          </w:tcPr>
          <w:p>
            <w:pPr>
              <w:spacing w:after="0"/>
              <w:rPr>
                <w:sz w:val="20"/>
                <w:szCs w:val="20"/>
                <w:color w:val="auto"/>
              </w:rPr>
            </w:pP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4,440</w:t>
            </w:r>
          </w:p>
        </w:tc>
        <w:tc>
          <w:tcPr>
            <w:tcW w:w="1120" w:type="dxa"/>
            <w:vAlign w:val="bottom"/>
          </w:tcPr>
          <w:p>
            <w:pPr>
              <w:spacing w:after="0"/>
              <w:rPr>
                <w:sz w:val="20"/>
                <w:szCs w:val="20"/>
                <w:color w:val="auto"/>
              </w:rPr>
            </w:pPr>
          </w:p>
        </w:tc>
      </w:tr>
      <w:tr>
        <w:trPr>
          <w:trHeight w:val="648"/>
        </w:trPr>
        <w:tc>
          <w:tcPr>
            <w:tcW w:w="63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6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as of January 31, 2025 are as follows: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6,006</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3,532</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3,294</w:t>
            </w:r>
          </w:p>
        </w:tc>
      </w:tr>
      <w:tr>
        <w:trPr>
          <w:trHeight w:val="191"/>
        </w:trPr>
        <w:tc>
          <w:tcPr>
            <w:tcW w:w="7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operating lease payments</w:t>
            </w:r>
          </w:p>
        </w:tc>
        <w:tc>
          <w:tcPr>
            <w:tcW w:w="5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29,083</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4,542</w:t>
            </w: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24,541</w:t>
            </w:r>
          </w:p>
        </w:tc>
      </w:tr>
      <w:tr>
        <w:trPr>
          <w:trHeight w:val="20"/>
        </w:trPr>
        <w:tc>
          <w:tcPr>
            <w:tcW w:w="7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STOCK-BASED COMPENSATION</w:t>
      </w:r>
    </w:p>
    <w:p>
      <w:pPr>
        <w:spacing w:after="0" w:line="121" w:lineRule="exact"/>
        <w:rPr>
          <w:sz w:val="20"/>
          <w:szCs w:val="20"/>
          <w:color w:val="auto"/>
        </w:rPr>
      </w:pPr>
    </w:p>
    <w:p>
      <w:pPr>
        <w:jc w:val="both"/>
        <w:ind w:firstLine="494"/>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spacing w:after="0" w:line="7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spacing w:after="0" w:line="68" w:lineRule="exact"/>
        <w:rPr>
          <w:sz w:val="20"/>
          <w:szCs w:val="20"/>
          <w:color w:val="auto"/>
        </w:rPr>
      </w:pPr>
    </w:p>
    <w:p>
      <w:pPr>
        <w:jc w:val="both"/>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are in the form of restricted stock units and have, in addition to a service requirement, financial performance criteria and/or stock performance criteria that must be achieved for the awards to be earned. For Performance Awards with financial performance criteria, the Target Shares earned can range from 50% to 200% (such result, the “Earned Shares”) once minimum thresholds have been reached and depend on the achievement of certain financial measures for the cumulative period comprised of three-consecutive fiscal years beginning with the fiscal year of the grant date. Performance Awards are also subject to limitations under the Company’s stockholder approved stock plans. The applicable percentage of the Target Shares, as determined by the applicable performance measure, vest after the completion of the applicable three-year performance period and upon determination of achievement of the performance measures by the Compensation Committee of the Board of Directors. Unearned Target Shares are forfeited.</w:t>
      </w:r>
    </w:p>
    <w:p>
      <w:pPr>
        <w:spacing w:after="0" w:line="84" w:lineRule="exact"/>
        <w:rPr>
          <w:sz w:val="20"/>
          <w:szCs w:val="20"/>
          <w:color w:val="auto"/>
        </w:rPr>
      </w:pPr>
    </w:p>
    <w:p>
      <w:pPr>
        <w:jc w:val="both"/>
        <w:ind w:left="1000"/>
        <w:spacing w:after="0" w:line="261" w:lineRule="auto"/>
        <w:rPr>
          <w:sz w:val="20"/>
          <w:szCs w:val="20"/>
          <w:color w:val="auto"/>
        </w:rPr>
      </w:pPr>
      <w:r>
        <w:rPr>
          <w:rFonts w:ascii="Times New Roman" w:cs="Times New Roman" w:eastAsia="Times New Roman" w:hAnsi="Times New Roman"/>
          <w:sz w:val="18"/>
          <w:szCs w:val="18"/>
          <w:color w:val="auto"/>
        </w:rPr>
        <w:t>The Performance Awards granted in Fiscal 2023 are also subject to a relative total shareholder return (“TSR”) modifier which is based on the Company’s total return to stockholders over the measurement period relative to a custom peer group. The Fiscal 2023 Performance Award TSR modifier can result in an adjustment of 75% to 125% of the Earned Shares, subject to an overall cap of 200% of Target Shares and a modifier limitation to 100% of Target Shares in the event TSR is negative.</w:t>
      </w:r>
    </w:p>
    <w:p>
      <w:pPr>
        <w:spacing w:after="0" w:line="72" w:lineRule="exact"/>
        <w:rPr>
          <w:sz w:val="20"/>
          <w:szCs w:val="20"/>
          <w:color w:val="auto"/>
        </w:rPr>
      </w:pPr>
    </w:p>
    <w:p>
      <w:pPr>
        <w:jc w:val="both"/>
        <w:ind w:left="1000"/>
        <w:spacing w:after="0" w:line="266" w:lineRule="auto"/>
        <w:rPr>
          <w:sz w:val="20"/>
          <w:szCs w:val="20"/>
          <w:color w:val="auto"/>
        </w:rPr>
      </w:pPr>
      <w:r>
        <w:rPr>
          <w:rFonts w:ascii="Times New Roman" w:cs="Times New Roman" w:eastAsia="Times New Roman" w:hAnsi="Times New Roman"/>
          <w:sz w:val="18"/>
          <w:szCs w:val="18"/>
          <w:color w:val="auto"/>
        </w:rPr>
        <w:t>For the Performance Awards granted in Fiscal 2024 with stock performance criteria, the Target Shares earned can range from 0% to 100% based on the Company’s highest average per share common stock closing price, measured over any 20 consecutive trading-day period during the three-consecutive fiscal years beginning with the fiscal year of the grant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100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Performance Awards granted prior to Fiscal 2023, as well as the Fiscal 2024 Performance Awards with financial performance criteria, are based on the closing price of the Company’s common stock on the grant date.</w:t>
      </w:r>
    </w:p>
    <w:p>
      <w:pPr>
        <w:spacing w:after="0" w:line="54" w:lineRule="exact"/>
        <w:rPr>
          <w:sz w:val="20"/>
          <w:szCs w:val="20"/>
          <w:color w:val="auto"/>
        </w:rPr>
      </w:pPr>
    </w:p>
    <w:p>
      <w:pPr>
        <w:jc w:val="both"/>
        <w:ind w:left="1000"/>
        <w:spacing w:after="0" w:line="282" w:lineRule="auto"/>
        <w:rPr>
          <w:sz w:val="20"/>
          <w:szCs w:val="20"/>
          <w:color w:val="auto"/>
        </w:rPr>
      </w:pPr>
      <w:r>
        <w:rPr>
          <w:rFonts w:ascii="Times New Roman" w:cs="Times New Roman" w:eastAsia="Times New Roman" w:hAnsi="Times New Roman"/>
          <w:sz w:val="18"/>
          <w:szCs w:val="18"/>
          <w:color w:val="auto"/>
        </w:rPr>
        <w:t>The grant date fair value for both the Performance Awards granted in Fiscal 2024 with stock performance criteria and the Performance Awards granted in Fiscal 2023 with a relative TSR modifier are based on the Monte Carlo simulation model.</w:t>
      </w:r>
    </w:p>
    <w:p>
      <w:pPr>
        <w:spacing w:after="0" w:line="54" w:lineRule="exact"/>
        <w:rPr>
          <w:sz w:val="20"/>
          <w:szCs w:val="20"/>
          <w:color w:val="auto"/>
        </w:rPr>
      </w:pPr>
    </w:p>
    <w:p>
      <w:pPr>
        <w:jc w:val="both"/>
        <w:ind w:left="100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for Performance Awards on a 100% payout unless it becomes probable that the outcome will be significantly different, or the performance can be accurately measured.</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w:t>
      </w:r>
    </w:p>
    <w:p>
      <w:pPr>
        <w:spacing w:after="0" w:line="72"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Company’s stock-based compensation expense, which is included in Selling and administrative expense in the Consolidated Statements of Operations: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171"/>
        </w:trPr>
        <w:tc>
          <w:tcPr>
            <w:tcW w:w="52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Deferred awards</w:t>
            </w:r>
          </w:p>
        </w:tc>
        <w:tc>
          <w:tcPr>
            <w:tcW w:w="1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line="171" w:lineRule="exact"/>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14"/>
                <w:szCs w:val="14"/>
                <w:color w:val="auto"/>
              </w:rPr>
            </w:pPr>
          </w:p>
        </w:tc>
        <w:tc>
          <w:tcPr>
            <w:tcW w:w="16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4"/>
              <w:spacing w:after="0" w:line="171" w:lineRule="exact"/>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14"/>
                <w:szCs w:val="14"/>
                <w:color w:val="auto"/>
              </w:rPr>
            </w:pPr>
          </w:p>
        </w:tc>
        <w:tc>
          <w:tcPr>
            <w:tcW w:w="14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line="171" w:lineRule="exact"/>
              <w:rPr>
                <w:sz w:val="20"/>
                <w:szCs w:val="20"/>
                <w:color w:val="auto"/>
              </w:rPr>
            </w:pPr>
            <w:r>
              <w:rPr>
                <w:rFonts w:ascii="Times New Roman" w:cs="Times New Roman" w:eastAsia="Times New Roman" w:hAnsi="Times New Roman"/>
                <w:sz w:val="18"/>
                <w:szCs w:val="18"/>
                <w:color w:val="auto"/>
              </w:rPr>
              <w:t>5,744</w:t>
            </w:r>
          </w:p>
        </w:tc>
      </w:tr>
      <w:tr>
        <w:trPr>
          <w:trHeight w:val="236"/>
        </w:trPr>
        <w:tc>
          <w:tcPr>
            <w:tcW w:w="522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 xml:space="preserve">Performance awards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(2,090 )</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4,873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3,827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3,753</w:t>
            </w: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left="500" w:hanging="492"/>
        <w:spacing w:after="0" w:line="234" w:lineRule="auto"/>
        <w:tabs>
          <w:tab w:leader="none" w:pos="50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Net credit expense for Fiscal 2023 and Fiscal 2022 includes a reduction of the accrual for Performance Awards based on actual and projected results relative to performance measures and forfeitures.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Awards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Deferred Awards activity for Fiscal 2024, Fiscal 2023 and Fiscal 2022.</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7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7"/>
                <w:szCs w:val="17"/>
                <w:color w:val="auto"/>
              </w:rPr>
            </w:pPr>
          </w:p>
        </w:tc>
        <w:tc>
          <w:tcPr>
            <w:tcW w:w="17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8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840" w:type="dxa"/>
            <w:vAlign w:val="bottom"/>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Deferred Awards at beginning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year</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11.44</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16.46</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11.40</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8.53</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14.32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Awards at end</w:t>
            </w:r>
          </w:p>
        </w:tc>
        <w:tc>
          <w:tcPr>
            <w:tcW w:w="86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10.63</w:t>
            </w:r>
          </w:p>
        </w:tc>
        <w:tc>
          <w:tcPr>
            <w:tcW w:w="9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959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11.44</w:t>
            </w:r>
          </w:p>
        </w:tc>
        <w:tc>
          <w:tcPr>
            <w:tcW w:w="9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194"/>
        </w:trPr>
        <w:tc>
          <w:tcPr>
            <w:tcW w:w="36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of year</w:t>
            </w:r>
          </w:p>
        </w:tc>
        <w:tc>
          <w:tcPr>
            <w:tcW w:w="8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Deferred Awards was approximately $4.3 million as of January 31, 2025, which is expected to be recognized ratably over a weighted average period of 1.7 years. The total fair value of Deferred Awards vested during Fiscal 2024 and Fiscal 2023 was $4.1 million and $5.5 million, respectively. Deferred Awards granted to employees during Fiscal 2024 vest over a period of three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Performance Awards activity for Fiscal 2024, Fiscal 2023 and Fiscal 2022:</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72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7"/>
                <w:szCs w:val="17"/>
                <w:color w:val="auto"/>
              </w:rPr>
            </w:pPr>
          </w:p>
        </w:tc>
        <w:tc>
          <w:tcPr>
            <w:tcW w:w="17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8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84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8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Performance Awards at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13.14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24.39</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9.74</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 - performance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191"/>
        </w:trPr>
        <w:tc>
          <w:tcPr>
            <w:tcW w:w="3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Performance Awards at</w:t>
            </w:r>
          </w:p>
        </w:tc>
        <w:tc>
          <w:tcPr>
            <w:tcW w:w="86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10.99</w:t>
            </w: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13.14</w:t>
            </w:r>
          </w:p>
        </w:tc>
        <w:tc>
          <w:tcPr>
            <w:tcW w:w="92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194"/>
        </w:trPr>
        <w:tc>
          <w:tcPr>
            <w:tcW w:w="36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end of year</w:t>
            </w:r>
          </w:p>
        </w:tc>
        <w:tc>
          <w:tcPr>
            <w:tcW w:w="8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Performance Awards was approximately $1.9 million as of Fiscal 2024 which is expected to be recognized ratably over a weighted average period of 1.7 years. The Performance Awards granted to employees during Fiscal 2024 vest, if earned, after completion of the applicable performance period. The fair value of the 87,840 Performance Awards with stock performance criteria granted during Fiscal 2024 was estimated at $8.29 per share on the grant date using a Monte Carlo simulation.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Awards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outstanding Options Awards for Fiscal 2024, Fiscal 2023 and Fiscal 2022.</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60" w:type="dxa"/>
            <w:vAlign w:val="bottom"/>
            <w:gridSpan w:val="4"/>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60" w:type="dxa"/>
            <w:vAlign w:val="bottom"/>
          </w:tcPr>
          <w:p>
            <w:pPr>
              <w:spacing w:after="0"/>
              <w:rPr>
                <w:sz w:val="13"/>
                <w:szCs w:val="13"/>
                <w:color w:val="auto"/>
              </w:rPr>
            </w:pPr>
          </w:p>
        </w:tc>
        <w:tc>
          <w:tcPr>
            <w:tcW w:w="160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Pr>
          <w:p>
            <w:pPr>
              <w:spacing w:after="0"/>
              <w:rPr>
                <w:sz w:val="13"/>
                <w:szCs w:val="13"/>
                <w:color w:val="auto"/>
              </w:rPr>
            </w:pPr>
          </w:p>
        </w:tc>
        <w:tc>
          <w:tcPr>
            <w:tcW w:w="1640" w:type="dxa"/>
            <w:vAlign w:val="bottom"/>
            <w:gridSpan w:val="4"/>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January 27, 2023</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6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February 2, 2024</w:t>
            </w:r>
          </w:p>
        </w:tc>
        <w:tc>
          <w:tcPr>
            <w:tcW w:w="18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5"/>
                <w:szCs w:val="15"/>
                <w:color w:val="auto"/>
              </w:rPr>
            </w:pPr>
          </w:p>
        </w:tc>
        <w:tc>
          <w:tcPr>
            <w:tcW w:w="5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beginning of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(294 )</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Option Awards outstanding at end of year</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summary of information about the Option Awards vested and expected to vest during the contractual term,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Awards exercisable as of January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7"/>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and contractual life amounts)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tcPr>
          <w:p>
            <w:pPr>
              <w:spacing w:after="0"/>
              <w:rPr>
                <w:sz w:val="19"/>
                <w:szCs w:val="19"/>
                <w:color w:val="auto"/>
              </w:rPr>
            </w:pPr>
          </w:p>
        </w:tc>
        <w:tc>
          <w:tcPr>
            <w:tcW w:w="94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9"/>
        </w:trPr>
        <w:tc>
          <w:tcPr>
            <w:tcW w:w="45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Option Awards vested and expected to vest</w:t>
            </w:r>
          </w:p>
        </w:tc>
        <w:tc>
          <w:tcPr>
            <w:tcW w:w="9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 Awards exercisable</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8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7"/>
                <w:szCs w:val="17"/>
                <w:color w:val="auto"/>
              </w:rPr>
            </w:pPr>
          </w:p>
        </w:tc>
        <w:tc>
          <w:tcPr>
            <w:tcW w:w="940" w:type="dxa"/>
            <w:vAlign w:val="bottom"/>
            <w:tcBorders>
              <w:bottom w:val="single" w:sz="8" w:color="auto"/>
            </w:tcBorders>
          </w:tcPr>
          <w:p>
            <w:pPr>
              <w:ind w:left="7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Option Awards was approximately $0.3 million as of January 31, 2025, which is expected to be recognized over a weighted average period of 0.8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On June 28, 2022, the Company announced that its Board of Directors authorized the Company to repurchase up to $50.0 million of the Company’s common stock through February 2, 2024 (the “2022 Share Repurchase Program”). Under the 2022 Share Repurchase Program, the Company could repurchase its common stock through open market purchases, in privately negotiated transactions, or by other means in accordance with federal securities laws, including Rule 10b-18 of the Exchange Act. The amount and timing of purchases were determined by the Company’s management depending upon market conditions and other factors and at times were made pursuant to a Rule 10b5-1 trading plan. The 2022 Share Repurchase Program expired on February 2, 2024.</w:t>
      </w:r>
    </w:p>
    <w:p>
      <w:pPr>
        <w:spacing w:after="0" w:line="228"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On March 15, 2024, the Company announced that its Board of Directors authorized the Company to repurchase up to $25.0 million of the Company’s common stock through March 31, 2026 (the “2024 Share Repurchase Program”). Under the 2024 Share Repurchase Program, the Company may repurchase its common stock through open market purchases, in privately negotiated transactions, or by other means in accordance with federal securities laws, including Rule 10b-18 of the Exchange Act. The amount and timing of purchases will be determined by the Company’s management depending upon market conditions and other factors and may be made pursuant to a Rule 10b5-1 trading plan. The 2024 Share Repurchase Program may be suspended or discontinued at any time. As of January 31, 2025, additional purchases of up to $13.5 million could be made under the 2024 Share Repurchase Program. All repurchases are subject to compliance with the Current Term Loan Facility which imposes a per fiscal year limitation on share repurchases.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Fiscal 2024 and Fiscal 2023:</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February 2, 2024</w:t>
            </w:r>
          </w:p>
        </w:tc>
      </w:tr>
      <w:tr>
        <w:trPr>
          <w:trHeight w:val="191"/>
        </w:trPr>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Number of shares repurchased</w:t>
            </w:r>
          </w:p>
        </w:tc>
        <w:tc>
          <w:tcPr>
            <w:tcW w:w="24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774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1,487</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11,872</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Average per share cost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bl>
    <w:p>
      <w:pPr>
        <w:spacing w:after="0" w:line="238"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The Company retired all shares that were repurchased through the 2024 Share Repurchase Program and the 2022 Share Repurchase Program during Fiscal 2024 and Fiscal 2023. In accordance with FASB ASC 505—Equity,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February 2,</w:t>
            </w:r>
          </w:p>
        </w:tc>
      </w:tr>
      <w:tr>
        <w:trPr>
          <w:trHeight w:val="173"/>
        </w:trPr>
        <w:tc>
          <w:tcPr>
            <w:tcW w:w="6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6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Deferred gift card revenue</w:t>
            </w: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8"/>
                <w:szCs w:val="18"/>
                <w:color w:val="auto"/>
              </w:rPr>
              <w:t>34,746</w:t>
            </w:r>
          </w:p>
        </w:tc>
        <w:tc>
          <w:tcPr>
            <w:tcW w:w="14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8"/>
                <w:szCs w:val="18"/>
                <w:color w:val="auto"/>
              </w:rPr>
              <w:t>35,604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8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28,449</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Reserve for sales returns and allowances</w:t>
            </w:r>
          </w:p>
        </w:tc>
        <w:tc>
          <w:tcPr>
            <w:tcW w:w="18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21,560</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4,314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property, sales and other taxes</w:t>
            </w:r>
          </w:p>
        </w:tc>
        <w:tc>
          <w:tcPr>
            <w:tcW w:w="18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1,994</w:t>
            </w: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7,145</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8,256</w:t>
            </w: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98,736</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108,972</w:t>
            </w: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LANDS’ END JAPAN CLOSURE</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July 2022, the Board of Directors approved a plan to cease operations of Lands’ End Japan KK, a subsidiary of Lands’ End, Inc. (“Lands’ End Japan”) by the end of Fiscal 2022. Lands’ End Japan comprises the Japan eCommerce operating segment. The closing and subsequent disposal of the assets does not represent a strategic shift with a major effect on the consolidated financial condition. Accordingly, the closing of Lands’ End Japan was not presented in the Consolidated Financial Statements as discontinued operations.</w:t>
      </w:r>
    </w:p>
    <w:p>
      <w:pPr>
        <w:spacing w:after="0" w:line="72"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In August 2022, the Company notified all employees of the closure and commenced closing activities. Liquidation sales commenced in the month of September 2022 through the end of Fiscal 2022. The dissolution of Lands’ End Japan was authorized and approved on January 31, 2023. The Company recorded closing costs for employee severance and benefit costs, early termination and restoration costs of lease facilities and contract cancellation and other costs. The final liquidation occurred in First Quarter 2024.</w:t>
      </w:r>
    </w:p>
    <w:p>
      <w:pPr>
        <w:spacing w:after="0" w:line="72"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There were no closing costs of Lands’ End Japan recognized in Fiscal 2024. Closing costs of Lands’ End Japan recognized in Other operating expense, net in the Consolidated Statement of Operations for Fiscal 2023 was $0.3 million.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MEASUREMENTS OF FINANCIAL ASSETS AND LIABILITIES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is reflected on the Consolidated Balance Sheets at fair value based on Level 1 inputs. Cash and cash equivalents and restricted cash amounts are valued based upon statements received from financial institutions. The fair value of restricted cash was $2.6 million and $2.0 million as of January 31, 2025 and February 2, 2024, respectively.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Carrying amounts and fair values of long-term debt, including current portion, in the Consolidated Balance Sheets are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February 2, 2024</w:t>
            </w:r>
          </w:p>
        </w:tc>
      </w:tr>
      <w:tr>
        <w:trPr>
          <w:trHeight w:val="117"/>
        </w:trPr>
        <w:tc>
          <w:tcPr>
            <w:tcW w:w="4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8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85"/>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22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73"/>
        </w:trPr>
        <w:tc>
          <w:tcPr>
            <w:tcW w:w="4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247,000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251,690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260,000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258,139</w:t>
            </w: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The Company’s valuation of long-term debt, including current portion, at fair value is considered a Level 3 instrument under the fair value hierarchy. The Company’s valuation techniques include the Black-Derman-Toy (“BDT”) model as well as market inputs from management. The BDT modeling approach is particularly relevant given the Current Term Loan Facility’s features, including the optional redemption provision. There were no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nonfinancial assets or nonfinancial liabilities recognized at fair value on a nonrecurring basis as of January 31, 2025 and February 2,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INDEFINITE-LIVED INTANGIBLE ASSET</w:t>
      </w:r>
    </w:p>
    <w:p>
      <w:pPr>
        <w:spacing w:after="0" w:line="121" w:lineRule="exact"/>
        <w:rPr>
          <w:sz w:val="20"/>
          <w:szCs w:val="20"/>
          <w:color w:val="auto"/>
        </w:rPr>
      </w:pPr>
    </w:p>
    <w:p>
      <w:pPr>
        <w:jc w:val="both"/>
        <w:ind w:right="20" w:firstLine="499"/>
        <w:spacing w:after="0" w:line="266" w:lineRule="auto"/>
        <w:rPr>
          <w:sz w:val="20"/>
          <w:szCs w:val="20"/>
          <w:color w:val="auto"/>
        </w:rPr>
      </w:pPr>
      <w:r>
        <w:rPr>
          <w:rFonts w:ascii="Times New Roman" w:cs="Times New Roman" w:eastAsia="Times New Roman" w:hAnsi="Times New Roman"/>
          <w:sz w:val="18"/>
          <w:szCs w:val="18"/>
          <w:color w:val="auto"/>
        </w:rPr>
        <w:t>The Company’s intangible assets, consisting of a goodwill and trade name, were originally valued in connection with a business combination accounted for under the purchase accounting method. Goodwill represents the excess of the purchase price over the fair value of the net assets acquired. Goodwill was fully impaired in Fiscal 2023.</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of the Company’s Goodwill:</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0"/>
                <w:szCs w:val="20"/>
                <w:color w:val="auto"/>
              </w:rPr>
            </w:pPr>
          </w:p>
        </w:tc>
        <w:tc>
          <w:tcPr>
            <w:tcW w:w="212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191"/>
        </w:trPr>
        <w:tc>
          <w:tcPr>
            <w:tcW w:w="63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 January 27, 2023</w:t>
            </w:r>
          </w:p>
        </w:tc>
        <w:tc>
          <w:tcPr>
            <w:tcW w:w="52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60" w:type="dxa"/>
            <w:vAlign w:val="bottom"/>
          </w:tcPr>
          <w:p>
            <w:pPr>
              <w:spacing w:after="0"/>
              <w:rPr>
                <w:sz w:val="18"/>
                <w:szCs w:val="18"/>
                <w:color w:val="auto"/>
              </w:rPr>
            </w:pPr>
          </w:p>
        </w:tc>
      </w:tr>
      <w:tr>
        <w:trPr>
          <w:trHeight w:val="22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191"/>
        </w:trPr>
        <w:tc>
          <w:tcPr>
            <w:tcW w:w="630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Carrying Value</w:t>
            </w:r>
          </w:p>
        </w:tc>
        <w:tc>
          <w:tcPr>
            <w:tcW w:w="52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16"/>
                <w:szCs w:val="16"/>
                <w:color w:val="auto"/>
              </w:rPr>
            </w:pPr>
          </w:p>
        </w:tc>
      </w:tr>
      <w:tr>
        <w:trPr>
          <w:trHeight w:val="212"/>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booked in Fiscal 2023</w:t>
            </w:r>
          </w:p>
        </w:tc>
        <w:tc>
          <w:tcPr>
            <w:tcW w:w="5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60" w:type="dxa"/>
            <w:vAlign w:val="bottom"/>
          </w:tcPr>
          <w:p>
            <w:pPr>
              <w:spacing w:after="0"/>
              <w:rPr>
                <w:sz w:val="18"/>
                <w:szCs w:val="18"/>
                <w:color w:val="auto"/>
              </w:rPr>
            </w:pPr>
          </w:p>
        </w:tc>
      </w:tr>
      <w:tr>
        <w:trPr>
          <w:trHeight w:val="22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February 2, 2024</w:t>
            </w:r>
          </w:p>
        </w:tc>
        <w:tc>
          <w:tcPr>
            <w:tcW w:w="5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amount</w:t>
            </w:r>
          </w:p>
        </w:tc>
        <w:tc>
          <w:tcPr>
            <w:tcW w:w="5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60" w:type="dxa"/>
            <w:vAlign w:val="bottom"/>
          </w:tcPr>
          <w:p>
            <w:pPr>
              <w:spacing w:after="0"/>
              <w:rPr>
                <w:sz w:val="18"/>
                <w:szCs w:val="18"/>
                <w:color w:val="auto"/>
              </w:rPr>
            </w:pPr>
          </w:p>
        </w:tc>
      </w:tr>
      <w:tr>
        <w:trPr>
          <w:trHeight w:val="224"/>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2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(110.0 )</w:t>
            </w:r>
          </w:p>
        </w:tc>
      </w:tr>
      <w:tr>
        <w:trPr>
          <w:trHeight w:val="21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Carrying Value</w:t>
            </w: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Intangible asset, net was $257.0 million as of January 31, 2025 and February 2, 2024.</w:t>
      </w:r>
    </w:p>
    <w:p>
      <w:pPr>
        <w:spacing w:after="0" w:line="115"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ASC 350, Intangibles - Goodwill and Other, </w:t>
      </w:r>
      <w:r>
        <w:rPr>
          <w:rFonts w:ascii="Times New Roman" w:cs="Times New Roman" w:eastAsia="Times New Roman" w:hAnsi="Times New Roman"/>
          <w:sz w:val="18"/>
          <w:szCs w:val="18"/>
          <w:color w:val="auto"/>
        </w:rPr>
        <w:t>requires companies to test goodwill and indefinite-lived intangible assets for impairment annually,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often if an event or circumstance indicates that the carrying amount may not be recoverable. In connection with the preparation of the financial statements included in the Company’s Third Quarter 2023 Form 10-Q, the Company considered the decline in the Company’s stock price and market capitalization, as well as current market and macroeconomic conditions, to be a triggering event for the U.S. eCommerce and Outfitters reporting units and therefore completed a test for impairment of goodwill for these reporting units as of October 27, 2023. The Company tested goodwill for impairment using a one-step quantitative test. The quantitative test compares the reporting unit’s fair value to its carrying value. An impairment is recorded for any excess carrying value above the reporting unit’s fair value, not to exceed the amount of goodwill. The Company estimates fair value of its reporting units using a discounted cash flow model, commonly referred to as the income approach. The income approach uses a reporting unit’s projection of estimated operating results and cash flows that is discounted using a weighted-average cost of capital that reflects current market conditions appropriate to the Company’s reporting unit. The discounted cash flow model uses management’s best estimates of economic and market conditions over the projected period using the best information available, including growth rates in revenues, costs and estimates of future expected changes in operating margins and cash expenditures. Other significant estimates and assumptions include terminal value growth rates, weighted average cost of capital and changes in future working capital requirements.</w:t>
      </w:r>
    </w:p>
    <w:p>
      <w:pPr>
        <w:spacing w:after="0" w:line="81"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impairment test resulted in full impairment of $70.4 million and $36.3 million of goodwill allocated to the Company’s U.S. eCommerce and Outfitters reporting units,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impairment of the trade name during any period presented.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income (loss) before income taxes in the United States and in foreign jurisdictions is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191"/>
        </w:trPr>
        <w:tc>
          <w:tcPr>
            <w:tcW w:w="5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17,535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(126,745 )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4,646</w:t>
            </w: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(19,325 )</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10,496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(131,817 )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(14,679 )</w:t>
            </w: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Certain foreign operations are branches of Lands’ End and are subject to U.S. as well as foreign income tax. The pretax income (loss) by location and the analysis of the income tax provision by taxing jurisdiction are not directly related.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4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18"/>
                <w:szCs w:val="18"/>
                <w:color w:val="auto"/>
              </w:rPr>
              <w:t>4,065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(1,482 )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(3,258 )</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provision (benefit)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4,263</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tcPr>
          <w:p>
            <w:pPr>
              <w:ind w:left="11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94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Current:</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(3,092 )</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(3,928 )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 current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(2,946 )</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(3,076 )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40" w:type="dxa"/>
            <w:vAlign w:val="bottom"/>
          </w:tcPr>
          <w:p>
            <w:pPr>
              <w:ind w:left="1140"/>
              <w:spacing w:after="0" w:line="191" w:lineRule="exact"/>
              <w:rPr>
                <w:sz w:val="20"/>
                <w:szCs w:val="20"/>
                <w:color w:val="auto"/>
              </w:rPr>
            </w:pPr>
            <w:r>
              <w:rPr>
                <w:rFonts w:ascii="Times New Roman" w:cs="Times New Roman" w:eastAsia="Times New Roman" w:hAnsi="Times New Roman"/>
                <w:sz w:val="18"/>
                <w:szCs w:val="18"/>
                <w:color w:val="auto"/>
              </w:rPr>
              <w:t>Deferred:</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Foreign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deferred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provision (benefit)</w:t>
            </w:r>
          </w:p>
        </w:tc>
        <w:tc>
          <w:tcPr>
            <w:tcW w:w="1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4,263</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(1,133 )</w:t>
            </w:r>
          </w:p>
        </w:tc>
        <w:tc>
          <w:tcPr>
            <w:tcW w:w="2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(2,149 )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00" w:type="dxa"/>
            <w:vAlign w:val="bottom"/>
            <w:gridSpan w:val="12"/>
          </w:tcPr>
          <w:p>
            <w:pPr>
              <w:ind w:left="50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effective income tax rate is as follows: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Tax at statutory federal tax rate</w:t>
            </w:r>
          </w:p>
        </w:tc>
        <w:tc>
          <w:tcPr>
            <w:tcW w:w="1140" w:type="dxa"/>
            <w:vAlign w:val="bottom"/>
          </w:tcPr>
          <w:p>
            <w:pPr>
              <w:spacing w:after="0"/>
              <w:rPr>
                <w:sz w:val="22"/>
                <w:szCs w:val="22"/>
                <w:color w:val="auto"/>
              </w:rPr>
            </w:pPr>
          </w:p>
        </w:tc>
        <w:tc>
          <w:tcPr>
            <w:tcW w:w="14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9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21.0 %</w:t>
            </w: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21.0 %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Foreign differential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Permanent differences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Uncertain tax benefits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Change in foreign valuation allowance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Goodwill impairment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40.6 %</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Deferred tax assets and liabilities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80" w:type="dxa"/>
            <w:vAlign w:val="bottom"/>
          </w:tcPr>
          <w:p>
            <w:pPr>
              <w:spacing w:after="0"/>
              <w:rPr>
                <w:sz w:val="13"/>
                <w:szCs w:val="13"/>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73"/>
        </w:trPr>
        <w:tc>
          <w:tcPr>
            <w:tcW w:w="61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4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accruals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interest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returns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CTA investment in foreign subsidiaries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57,798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62,124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(18,058 )</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(16,292 )</w:t>
            </w:r>
          </w:p>
        </w:tc>
        <w:tc>
          <w:tcPr>
            <w:tcW w:w="0" w:type="dxa"/>
            <w:vAlign w:val="bottom"/>
          </w:tcPr>
          <w:p>
            <w:pPr>
              <w:spacing w:after="0"/>
              <w:rPr>
                <w:sz w:val="1"/>
                <w:szCs w:val="1"/>
                <w:color w:val="auto"/>
              </w:rPr>
            </w:pPr>
          </w:p>
        </w:tc>
      </w:tr>
      <w:tr>
        <w:trPr>
          <w:trHeight w:val="20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39,740</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3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Catalog advertising</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As of January 31, 2025, the Company had $117.5 million of federal and state net operating loss (“NOL”) and interest expense carryforwards (generating a $12.2 million deferred tax asset) available to offset future taxable income. The federal carryforwards have an indefinite life. The state NOL carryforwards generally expire between 2025 and 2044 with certain state NOLs and interest expense carryforwards generated after 2017 having indefinite lives. The Company’s foreign subsidiaries had $49.3 million of NOL carryforwards (generating a $14.1 million deferred tax asset) available to offset future taxable income. These foreign NOLs can be carried forward indefinitely, however, a valuation allowance was established since the future utilization of these NOLs is uncertain.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(“UTBs”) is as follows:</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Fiscal 2022</w:t>
            </w:r>
          </w:p>
        </w:tc>
      </w:tr>
      <w:tr>
        <w:trPr>
          <w:trHeight w:val="191"/>
        </w:trPr>
        <w:tc>
          <w:tcPr>
            <w:tcW w:w="5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Gross UTBs balance at beginning of period</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8"/>
                <w:szCs w:val="18"/>
                <w:color w:val="auto"/>
              </w:rPr>
              <w:t>1,477</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the prior periods - gross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(decreases)</w:t>
            </w:r>
          </w:p>
        </w:tc>
        <w:tc>
          <w:tcPr>
            <w:tcW w:w="16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Gross UTBs 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1,297</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As of January 31, 2025, the Company had gross UTBs of $9.0 million. Of this amount, $0.8 million would, if recognized, impact its effective tax rate. The remaining liability relates to tax positions for which there are offsetting tax benefits, or the uncertainty was related only to timing. The Company does not expect that UTBs will fluctuate significantly in the next 12 months for tax audit settlements and the expiration of the statute of limitations for certain jurisdictions. Tax years 2021 through 2025 remain open for examination by the Internal Revenue Service as well as various state and foreign jurisdictions.</w:t>
      </w:r>
    </w:p>
    <w:p>
      <w:pPr>
        <w:spacing w:after="0" w:line="75"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UTBs and interest income on tax overpayments as components of income tax expense. As of January 31, 2025, the total amount of interest expense and penalties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recognized on the balance sheet was $0.5 million ($0.4 million net of federal benefit). As of February 2, 2024, the total amount of interest and penalties recognized on the balance sheet was $0.6 million ($0.5 million net of federal benefit). The total amount of net interest expense recognized in the Consolidated Statements of Operations was insignificant for all periods presented. The Company files income tax returns in both the United States and various foreign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 taken as a whole.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 xml:space="preserve">The Company identifies operating segments according to how business activities are managed and evaluated. Following internal organizational changes and realignment of distribution channel responsibilities in Fourth Quarter 2024, the Company’s operating segments consisted of: U.S. eCommerce, Europe eCommerce, Outfitters, Third Party, Licensing and Retail. Beginning Fourth Quarter 2024, the Wholesale business is included in Licensing and prior periods were recast to reflect the change in operating segments for comparability purposes. During Fiscal 2022, the Company’s operating segments included Japan eCommerce. See Note 8, </w:t>
      </w:r>
      <w:r>
        <w:rPr>
          <w:rFonts w:ascii="Times New Roman" w:cs="Times New Roman" w:eastAsia="Times New Roman" w:hAnsi="Times New Roman"/>
          <w:sz w:val="18"/>
          <w:szCs w:val="18"/>
          <w:i w:val="1"/>
          <w:iCs w:val="1"/>
          <w:color w:val="auto"/>
        </w:rPr>
        <w:t>Lands’ End Japan Closure</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1000" w:hanging="49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117" w:lineRule="exact"/>
        <w:rPr>
          <w:rFonts w:ascii="Times New Roman" w:cs="Times New Roman" w:eastAsia="Times New Roman" w:hAnsi="Times New Roman"/>
          <w:sz w:val="18"/>
          <w:szCs w:val="18"/>
          <w:color w:val="auto"/>
        </w:rPr>
      </w:pPr>
    </w:p>
    <w:p>
      <w:pPr>
        <w:ind w:left="1000" w:right="20" w:hanging="498"/>
        <w:spacing w:after="0" w:line="28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Europe eCommerce </w:t>
      </w:r>
      <w:r>
        <w:rPr>
          <w:rFonts w:ascii="Times New Roman" w:cs="Times New Roman" w:eastAsia="Times New Roman" w:hAnsi="Times New Roman"/>
          <w:sz w:val="18"/>
          <w:szCs w:val="18"/>
          <w:color w:val="auto"/>
        </w:rPr>
        <w:t>offers products primarily to consumers located in Europe and through eCommerce international websites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w:t>
      </w:r>
    </w:p>
    <w:p>
      <w:pPr>
        <w:spacing w:after="0" w:line="50" w:lineRule="exact"/>
        <w:rPr>
          <w:rFonts w:ascii="Times New Roman" w:cs="Times New Roman" w:eastAsia="Times New Roman" w:hAnsi="Times New Roman"/>
          <w:sz w:val="18"/>
          <w:szCs w:val="18"/>
          <w:color w:val="auto"/>
        </w:rPr>
      </w:pPr>
    </w:p>
    <w:p>
      <w:pPr>
        <w:ind w:left="1000" w:hanging="493"/>
        <w:spacing w:after="0" w:line="284"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5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earns royalties on the use of Lands’ End trademark and any fulfillment fees for fulfillment services provided by the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Company Operated stores, located in the U.S.</w:t>
      </w:r>
    </w:p>
    <w:p>
      <w:pPr>
        <w:spacing w:after="0" w:line="119"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The internal reporting of these operating segments is based, in part, on the reporting and review process used by the Company’s chief operating decision maker (“CODM”), its Chief Executive Officer. The CODM assesses segment performance based on variable profit, which is defined as net revenue minus cost of sales and variable selling expenses to evaluate segment profitability and make decisions about resource allocations. The Company’s CODM monitors actual segment variable profit results relative to operating plan and forecast to assess the performance of the business and allocate resources. The CODM does not utilize segment asset information to evaluate performance and make resource allocation decisions, and thus such disclosures are not provided.</w:t>
      </w:r>
    </w:p>
    <w:p>
      <w:pPr>
        <w:spacing w:after="0" w:line="79"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 determined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has determined its significant segment expense categories based on amounts regularly provided to the Company’s CODM to evaluate segment profitability and drive strategic decision making. The following presents U.S. Digital segment sales and expenses: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164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Pr>
          <w:p>
            <w:pPr>
              <w:jc w:val="right"/>
              <w:ind w:right="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3"/>
                <w:szCs w:val="13"/>
                <w:color w:val="auto"/>
              </w:rPr>
            </w:pPr>
          </w:p>
        </w:tc>
        <w:tc>
          <w:tcPr>
            <w:tcW w:w="24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1,154,442</w:t>
            </w:r>
          </w:p>
        </w:tc>
        <w:tc>
          <w:tcPr>
            <w:tcW w:w="20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1,293,178</w:t>
            </w:r>
          </w:p>
        </w:tc>
        <w:tc>
          <w:tcPr>
            <w:tcW w:w="200" w:type="dxa"/>
            <w:vAlign w:val="bottom"/>
          </w:tcPr>
          <w:p>
            <w:pPr>
              <w:spacing w:after="0"/>
              <w:rPr>
                <w:sz w:val="13"/>
                <w:szCs w:val="13"/>
                <w:color w:val="auto"/>
              </w:rPr>
            </w:pP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1,308,810</w:t>
            </w:r>
          </w:p>
        </w:tc>
        <w:tc>
          <w:tcPr>
            <w:tcW w:w="80" w:type="dxa"/>
            <w:vAlign w:val="bottom"/>
          </w:tcPr>
          <w:p>
            <w:pPr>
              <w:spacing w:after="0"/>
              <w:rPr>
                <w:sz w:val="13"/>
                <w:szCs w:val="13"/>
                <w:color w:val="auto"/>
              </w:rPr>
            </w:pPr>
          </w:p>
        </w:tc>
        <w:tc>
          <w:tcPr>
            <w:tcW w:w="22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1,308,810</w:t>
            </w:r>
          </w:p>
        </w:tc>
        <w:tc>
          <w:tcPr>
            <w:tcW w:w="0" w:type="dxa"/>
            <w:vAlign w:val="bottom"/>
          </w:tcPr>
          <w:p>
            <w:pPr>
              <w:spacing w:after="0"/>
              <w:rPr>
                <w:sz w:val="1"/>
                <w:szCs w:val="1"/>
                <w:color w:val="auto"/>
              </w:rPr>
            </w:pPr>
          </w:p>
        </w:tc>
      </w:tr>
      <w:tr>
        <w:trPr>
          <w:trHeight w:val="244"/>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All other net revenue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208,493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179,330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246,619</w:t>
            </w:r>
          </w:p>
        </w:tc>
        <w:tc>
          <w:tcPr>
            <w:tcW w:w="0" w:type="dxa"/>
            <w:vAlign w:val="bottom"/>
          </w:tcPr>
          <w:p>
            <w:pPr>
              <w:spacing w:after="0"/>
              <w:rPr>
                <w:sz w:val="1"/>
                <w:szCs w:val="1"/>
                <w:color w:val="auto"/>
              </w:rPr>
            </w:pPr>
          </w:p>
        </w:tc>
      </w:tr>
      <w:tr>
        <w:trPr>
          <w:trHeight w:val="182"/>
        </w:trPr>
        <w:tc>
          <w:tcPr>
            <w:tcW w:w="16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consolidated net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1,555,429</w:t>
            </w:r>
          </w:p>
        </w:tc>
        <w:tc>
          <w:tcPr>
            <w:tcW w:w="0" w:type="dxa"/>
            <w:vAlign w:val="bottom"/>
          </w:tcPr>
          <w:p>
            <w:pPr>
              <w:spacing w:after="0"/>
              <w:rPr>
                <w:sz w:val="1"/>
                <w:szCs w:val="1"/>
                <w:color w:val="auto"/>
              </w:rPr>
            </w:pPr>
          </w:p>
        </w:tc>
      </w:tr>
      <w:tr>
        <w:trPr>
          <w:trHeight w:val="176"/>
        </w:trPr>
        <w:tc>
          <w:tcPr>
            <w:tcW w:w="16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revenue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Product cost of goods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sold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Shipping cost of goods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sold</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Marketing costs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167,440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Variable personnel costs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69,584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segment expenses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32,407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Segment variable profit</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net revenue is from Europe eCommerce, Licensing and Retail that does not meet the quantitative thresholds and Japan for Fiscal 2022</w:t>
      </w:r>
    </w:p>
    <w:p>
      <w:pPr>
        <w:ind w:left="500" w:hanging="492"/>
        <w:spacing w:after="0" w:line="184" w:lineRule="auto"/>
        <w:tabs>
          <w:tab w:leader="none" w:pos="500" w:val="left"/>
        </w:tabs>
        <w:numPr>
          <w:ilvl w:val="0"/>
          <w:numId w:val="3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Other segment expenses include credit card fees, customer service, webhosting, supplies and other miscellaneous expenses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reconciliation between segment variable profit to consolidated income (loss) before income taxes is as follows:</w:t>
      </w:r>
    </w:p>
    <w:p>
      <w:pPr>
        <w:sectPr>
          <w:pgSz w:w="11900" w:h="16838" w:orient="portrait"/>
          <w:cols w:equalWidth="0" w:num="1">
            <w:col w:w="11240"/>
          </w:cols>
          <w:pgMar w:left="320" w:top="769" w:right="339" w:bottom="1440" w:gutter="0" w:footer="0" w:header="0"/>
        </w:sectPr>
      </w:pP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Segment variable profit</w:t>
      </w:r>
    </w:p>
    <w:p>
      <w:pPr>
        <w:ind w:left="1140"/>
        <w:spacing w:after="0" w:line="233" w:lineRule="auto"/>
        <w:rPr>
          <w:sz w:val="20"/>
          <w:szCs w:val="20"/>
          <w:color w:val="auto"/>
        </w:rPr>
      </w:pPr>
      <w:r>
        <w:rPr>
          <w:rFonts w:ascii="Times New Roman" w:cs="Times New Roman" w:eastAsia="Times New Roman" w:hAnsi="Times New Roman"/>
          <w:sz w:val="16"/>
          <w:szCs w:val="16"/>
          <w:color w:val="auto"/>
        </w:rPr>
        <w:t xml:space="preserve">All other variable profit </w:t>
      </w:r>
      <w:r>
        <w:rPr>
          <w:rFonts w:ascii="Times New Roman" w:cs="Times New Roman" w:eastAsia="Times New Roman" w:hAnsi="Times New Roman"/>
          <w:sz w:val="21"/>
          <w:szCs w:val="21"/>
          <w:color w:val="auto"/>
          <w:vertAlign w:val="superscript"/>
        </w:rPr>
        <w:t>(1)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Depreciation expense</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Goodwill impairment</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Unallocated corporate expenses </w:t>
      </w:r>
      <w:r>
        <w:rPr>
          <w:rFonts w:ascii="Times New Roman" w:cs="Times New Roman" w:eastAsia="Times New Roman" w:hAnsi="Times New Roman"/>
          <w:sz w:val="21"/>
          <w:szCs w:val="21"/>
          <w:color w:val="auto"/>
          <w:vertAlign w:val="superscript"/>
        </w:rPr>
        <w:t>(2)</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Loss on extinguishment of debt</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Other (expense) income, net</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Income (loss) before income taxes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2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Fiscal 2024</w:t>
            </w:r>
          </w:p>
        </w:tc>
        <w:tc>
          <w:tcPr>
            <w:tcW w:w="240" w:type="dxa"/>
            <w:vAlign w:val="bottom"/>
          </w:tcPr>
          <w:p>
            <w:pPr>
              <w:spacing w:after="0"/>
              <w:rPr>
                <w:sz w:val="18"/>
                <w:szCs w:val="18"/>
                <w:color w:val="auto"/>
              </w:rPr>
            </w:pPr>
          </w:p>
        </w:tc>
        <w:tc>
          <w:tcPr>
            <w:tcW w:w="164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Fiscal 2023</w:t>
            </w:r>
          </w:p>
        </w:tc>
        <w:tc>
          <w:tcPr>
            <w:tcW w:w="240" w:type="dxa"/>
            <w:vAlign w:val="bottom"/>
          </w:tcPr>
          <w:p>
            <w:pPr>
              <w:spacing w:after="0"/>
              <w:rPr>
                <w:sz w:val="18"/>
                <w:szCs w:val="18"/>
                <w:color w:val="auto"/>
              </w:rPr>
            </w:pPr>
          </w:p>
        </w:tc>
        <w:tc>
          <w:tcPr>
            <w:tcW w:w="13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Fiscal 2022</w:t>
            </w:r>
          </w:p>
        </w:tc>
      </w:tr>
      <w:tr>
        <w:trPr>
          <w:trHeight w:val="207"/>
        </w:trPr>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265,422</w:t>
            </w:r>
          </w:p>
        </w:tc>
        <w:tc>
          <w:tcPr>
            <w:tcW w:w="3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265,921</w:t>
            </w:r>
          </w:p>
        </w:tc>
        <w:tc>
          <w:tcPr>
            <w:tcW w:w="34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234,591</w:t>
            </w:r>
          </w:p>
        </w:tc>
        <w:tc>
          <w:tcPr>
            <w:tcW w:w="6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23,722</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(33,772 )</w:t>
            </w:r>
          </w:p>
        </w:tc>
        <w:tc>
          <w:tcPr>
            <w:tcW w:w="2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(38,465 )</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(38,741 )</w:t>
            </w:r>
          </w:p>
        </w:tc>
      </w:tr>
      <w:tr>
        <w:trPr>
          <w:trHeight w:val="216"/>
        </w:trPr>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(106,700 )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(226,642 )</w:t>
            </w:r>
          </w:p>
        </w:tc>
        <w:tc>
          <w:tcPr>
            <w:tcW w:w="2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(224,676 )</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(194,847 )</w:t>
            </w:r>
          </w:p>
        </w:tc>
      </w:tr>
      <w:tr>
        <w:trPr>
          <w:trHeight w:val="216"/>
        </w:trPr>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(40,439 )</w:t>
            </w:r>
          </w:p>
        </w:tc>
        <w:tc>
          <w:tcPr>
            <w:tcW w:w="2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(48,291 )</w:t>
            </w: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(39,768 )</w:t>
            </w:r>
          </w:p>
        </w:tc>
      </w:tr>
      <w:tr>
        <w:trPr>
          <w:trHeight w:val="208"/>
        </w:trPr>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(6,666 )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60" w:type="dxa"/>
            <w:vAlign w:val="bottom"/>
          </w:tcPr>
          <w:p>
            <w:pPr>
              <w:spacing w:after="0"/>
              <w:rPr>
                <w:sz w:val="18"/>
                <w:szCs w:val="18"/>
                <w:color w:val="auto"/>
              </w:rPr>
            </w:pPr>
          </w:p>
        </w:tc>
      </w:tr>
      <w:tr>
        <w:trPr>
          <w:trHeight w:val="202"/>
        </w:trPr>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3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(131,817</w:t>
            </w: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4060" w:space="720"/>
            <w:col w:w="6460"/>
          </w:cols>
          <w:pgMar w:left="320" w:top="769" w:right="339" w:bottom="1440" w:gutter="0" w:footer="0" w:header="0"/>
          <w:type w:val="continuous"/>
        </w:sectPr>
      </w:pPr>
    </w:p>
    <w:p>
      <w:pPr>
        <w:ind w:left="500" w:hanging="492"/>
        <w:spacing w:after="0"/>
        <w:tabs>
          <w:tab w:leader="none" w:pos="50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variable profit is from Europe eCommerce, Licensing and Retail that does not meet the quantitative thresholds and Japan for Fiscal 2022</w:t>
      </w:r>
    </w:p>
    <w:p>
      <w:pPr>
        <w:ind w:left="500" w:hanging="492"/>
        <w:spacing w:after="0" w:line="184" w:lineRule="auto"/>
        <w:tabs>
          <w:tab w:leader="none" w:pos="500" w:val="left"/>
        </w:tabs>
        <w:numPr>
          <w:ilvl w:val="0"/>
          <w:numId w:val="3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Unallocated corporate expenses include fixed personnel costs, incentive compensation, office occupancy, information technology and professional fees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w:t>
      </w:r>
    </w:p>
    <w:p>
      <w:pPr>
        <w:spacing w:after="0" w:line="119"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r>
      <w:tr>
        <w:trPr>
          <w:trHeight w:val="218"/>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80" w:type="dxa"/>
            <w:vAlign w:val="bottom"/>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Fiscal 2022</w:t>
            </w: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U.S. eCommerce</w:t>
            </w: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842,751</w:t>
            </w:r>
          </w:p>
        </w:tc>
        <w:tc>
          <w:tcPr>
            <w:tcW w:w="80" w:type="dxa"/>
            <w:vAlign w:val="bottom"/>
          </w:tcPr>
          <w:p>
            <w:pPr>
              <w:spacing w:after="0"/>
              <w:rPr>
                <w:sz w:val="15"/>
                <w:szCs w:val="15"/>
                <w:color w:val="auto"/>
              </w:rPr>
            </w:pP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61.8%</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930,314</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63.2%</w:t>
            </w:r>
          </w:p>
        </w:tc>
        <w:tc>
          <w:tcPr>
            <w:tcW w:w="1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955,752</w:t>
            </w:r>
          </w:p>
        </w:tc>
        <w:tc>
          <w:tcPr>
            <w:tcW w:w="8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61.4%</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Outfitters</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228,161</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269,943</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6"/>
              </w:rPr>
              <w:t>18.3%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265,898</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17.1%</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Third Party</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6.3%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87,160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5.7%</w:t>
            </w:r>
          </w:p>
        </w:tc>
      </w:tr>
      <w:tr>
        <w:trPr>
          <w:trHeight w:val="182"/>
        </w:trPr>
        <w:tc>
          <w:tcPr>
            <w:tcW w:w="24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U.S. Digital Segment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1,154,442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1,293,178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1,308,810</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Europe eCommerce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103,079</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166,627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10.7%</w:t>
            </w: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Licensing and Retail</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105,414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66,475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79,992</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5.1%</w:t>
            </w:r>
          </w:p>
        </w:tc>
      </w:tr>
      <w:tr>
        <w:trPr>
          <w:trHeight w:val="196"/>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1,362,935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1,472,508</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1,555,429</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firstLine="494"/>
        <w:spacing w:after="0" w:line="282" w:lineRule="auto"/>
        <w:rPr>
          <w:sz w:val="20"/>
          <w:szCs w:val="20"/>
          <w:color w:val="auto"/>
        </w:rPr>
      </w:pPr>
      <w:r>
        <w:rPr>
          <w:rFonts w:ascii="Times New Roman" w:cs="Times New Roman" w:eastAsia="Times New Roman" w:hAnsi="Times New Roman"/>
          <w:sz w:val="18"/>
          <w:szCs w:val="18"/>
          <w:color w:val="auto"/>
        </w:rPr>
        <w:t>The geographical allocation of Net revenue is based upon where the product is shipped. The following presents summarized geographical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3260" w:type="dxa"/>
            <w:vAlign w:val="bottom"/>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2024</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2023</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Fiscal 2022</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3260" w:type="dxa"/>
            <w:vAlign w:val="bottom"/>
          </w:tcPr>
          <w:p>
            <w:pPr>
              <w:ind w:left="880"/>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1,245,240</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1,342,366</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91.2%</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1,368,518</w:t>
            </w:r>
          </w:p>
        </w:tc>
        <w:tc>
          <w:tcPr>
            <w:tcW w:w="1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88.0%</w:t>
            </w: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2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Europe</w:t>
            </w:r>
          </w:p>
        </w:tc>
        <w:tc>
          <w:tcPr>
            <w:tcW w:w="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105,000</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114,778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135,878</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8.7%</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260" w:type="dxa"/>
            <w:vAlign w:val="bottom"/>
          </w:tcPr>
          <w:p>
            <w:pPr>
              <w:ind w:left="88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12,695</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15,364</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51,033</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2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Net revenue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1,362,935</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1,472,508</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1,555,429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w w:val="85"/>
              </w:rPr>
              <w:t>(1)</w:t>
            </w:r>
          </w:p>
        </w:tc>
        <w:tc>
          <w:tcPr>
            <w:tcW w:w="3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320" w:type="dxa"/>
            <w:vAlign w:val="bottom"/>
            <w:vMerge w:val="continue"/>
          </w:tcPr>
          <w:p>
            <w:pPr>
              <w:spacing w:after="0"/>
              <w:rPr>
                <w:sz w:val="24"/>
                <w:szCs w:val="24"/>
                <w:color w:val="auto"/>
              </w:rPr>
            </w:pPr>
          </w:p>
        </w:tc>
        <w:tc>
          <w:tcPr>
            <w:tcW w:w="7540" w:type="dxa"/>
            <w:vAlign w:val="bottom"/>
            <w:gridSpan w:val="8"/>
          </w:tcPr>
          <w:p>
            <w:pPr>
              <w:ind w:left="180"/>
              <w:spacing w:after="0"/>
              <w:rPr>
                <w:sz w:val="20"/>
                <w:szCs w:val="20"/>
                <w:color w:val="auto"/>
              </w:rPr>
            </w:pPr>
            <w:r>
              <w:rPr>
                <w:rFonts w:ascii="Times New Roman" w:cs="Times New Roman" w:eastAsia="Times New Roman" w:hAnsi="Times New Roman"/>
                <w:sz w:val="13"/>
                <w:szCs w:val="13"/>
                <w:color w:val="auto"/>
              </w:rPr>
              <w:t xml:space="preserve">Fiscal 2022 includes Net revenue of $32.7 million from the Japan eCommerce distribution channel. See Note 8, </w:t>
            </w:r>
            <w:r>
              <w:rPr>
                <w:rFonts w:ascii="Times New Roman" w:cs="Times New Roman" w:eastAsia="Times New Roman" w:hAnsi="Times New Roman"/>
                <w:sz w:val="13"/>
                <w:szCs w:val="13"/>
                <w:i w:val="1"/>
                <w:iCs w:val="1"/>
                <w:color w:val="auto"/>
              </w:rPr>
              <w:t>Lands’ End Japan Closure</w:t>
            </w: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240"/>
          </w:cols>
          <w:pgMar w:left="320" w:top="769" w:right="339" w:bottom="1440" w:gutter="0" w:footer="0" w:header="0"/>
        </w:sect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represented more than 10% of Net revenue.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by geographical location are as follows:</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Fiscal 2024</w:t>
            </w:r>
          </w:p>
        </w:tc>
      </w:tr>
      <w:tr>
        <w:trPr>
          <w:trHeight w:val="182"/>
        </w:trPr>
        <w:tc>
          <w:tcPr>
            <w:tcW w:w="46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rPr>
              <w:t>109,609</w:t>
            </w:r>
          </w:p>
        </w:tc>
      </w:tr>
      <w:tr>
        <w:trPr>
          <w:trHeight w:val="203"/>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Europe</w:t>
            </w:r>
          </w:p>
        </w:tc>
        <w:tc>
          <w:tcPr>
            <w:tcW w:w="34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5,923</w:t>
            </w: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Asia</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Total long-lived assets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115,618</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Fiscal 2023</w:t>
            </w:r>
          </w:p>
        </w:tc>
      </w:tr>
      <w:tr>
        <w:trPr>
          <w:trHeight w:val="185"/>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111,254</w:t>
            </w:r>
          </w:p>
        </w:tc>
      </w:tr>
      <w:tr>
        <w:trPr>
          <w:trHeight w:val="203"/>
        </w:trPr>
        <w:tc>
          <w:tcPr>
            <w:tcW w:w="340" w:type="dxa"/>
            <w:vAlign w:val="bottom"/>
          </w:tcPr>
          <w:p>
            <w:pPr>
              <w:spacing w:after="0"/>
              <w:rPr>
                <w:sz w:val="17"/>
                <w:szCs w:val="17"/>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6,588</w:t>
            </w:r>
          </w:p>
        </w:tc>
      </w:tr>
      <w:tr>
        <w:trPr>
          <w:trHeight w:val="213"/>
        </w:trPr>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w:t>
            </w:r>
          </w:p>
        </w:tc>
      </w:tr>
      <w:tr>
        <w:trPr>
          <w:trHeight w:val="199"/>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118,033</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260"/>
            <w:col w:w="3180"/>
          </w:cols>
          <w:pgMar w:left="320" w:top="769" w:right="339" w:bottom="1440" w:gutter="0" w:footer="0" w:header="0"/>
          <w:type w:val="continuous"/>
        </w:sectPr>
      </w:pP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than the United States, no geographic region is greater than 10% of total Property and equipment, net.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the information required to be disclosed by the Company in the reports that it files or submits under the Securities Exchange Act of 1934 is recorded, processed, summarized and reported within the time periods specified in the rules and forms of the Securities and Exchange Commission and that such information is accumulated and communicated to the officers who certify the Company’s financial reports and to other members of senior management and the Board of Directors as appropriate to allow timely decisions regarding required disclosure.</w:t>
      </w:r>
    </w:p>
    <w:p>
      <w:pPr>
        <w:spacing w:after="0" w:line="75"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Based on their evaluation, the Chief Executive Officer and the Chief Financial Officer have concluded that our disclosure controls and procedures (as defined in Rule 13a-15(e) and 15-d-15(e) under the Securities Exchange Act of 1934, as amended) are effective as of January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the Chief Executive Officer and the Chief Financial Officer to provide reasonable assurance regarding the reliability of our financial reporting and the preparation of financial statements for external purposes in accordance with generally accepted accounting principles. Because of its inherent limitations, internal control over financial reporting is not intended to provide absolute assurance that a misstatement of our financial statements would be prevented or detected on a timely basis.</w:t>
      </w:r>
    </w:p>
    <w:p>
      <w:pPr>
        <w:spacing w:after="0" w:line="79"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Chief Financial Officer conducted an evaluation of the design and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our management concluded that our internal control over financial reporting was effective as of January 31, 2025. Our independent registered public accounting firm has issued an audit report on the effectiveness of our internal control over financial reporting, see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99"/>
        <w:spacing w:after="0" w:line="261" w:lineRule="auto"/>
        <w:rPr>
          <w:sz w:val="20"/>
          <w:szCs w:val="20"/>
          <w:color w:val="auto"/>
        </w:rPr>
      </w:pPr>
      <w:r>
        <w:rPr>
          <w:rFonts w:ascii="Times New Roman" w:cs="Times New Roman" w:eastAsia="Times New Roman" w:hAnsi="Times New Roman"/>
          <w:sz w:val="18"/>
          <w:szCs w:val="18"/>
          <w:color w:val="auto"/>
        </w:rPr>
        <w:t>Regulations under the Exchange Act require public companies including our Company, to evaluate any change in our “internal control over financial reporting” as such term is defined in Rule 13a-15(f) and Rule 15d-15(f) of the Exchange Act. There have not been any changes in our internal control over financial reporting that occurred during the fourth fiscal quarter ended January 31, 2025 that have materially impacted,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January 31,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99"/>
        <w:spacing w:after="0" w:line="254" w:lineRule="auto"/>
        <w:rPr>
          <w:sz w:val="20"/>
          <w:szCs w:val="20"/>
          <w:color w:val="auto"/>
        </w:rPr>
      </w:pPr>
      <w:r>
        <w:rPr>
          <w:rFonts w:ascii="Times New Roman" w:cs="Times New Roman" w:eastAsia="Times New Roman" w:hAnsi="Times New Roman"/>
          <w:sz w:val="18"/>
          <w:szCs w:val="18"/>
          <w:color w:val="auto"/>
        </w:rPr>
        <w:t>Information required by Item 10 with respect to directors, the audit committee, audit committee financial experts and Section 16(a) beneficial ownership reporting compliance is included under the headings “Item 1. Election of Directors - Committees of the Board,” “Corporate Governance - Director Independence” and in the biographies of the directors contained in “Item 1. Election of Directors,” in our definitive proxy statement for our annual meeting of stockholders to be held on May 21, 2025 (the “2025 Proxy Statement”) which are incorporated herein by reference. With regard to the information required by this item regarding compliance with Section 16(a) of the Exchange Act, we will provide disclosure of delinquent Section 16(a) reports, if any, in our 2025 Proxy Statement under the heading “Other Information - Delinquent Section 16(a) Reports”, and such disclosure, if any, is incorporated herein by reference. The information required by Item 10 with respect to insider trading arrangements and policies is included under the heading “Item 1. Election of Directors - Restrictions related to Equity Transactions; Insider Trading Policy” in the 2025 Proxy Statement, and such disclosure is incorporated herein by reference. The 2025 Proxy Statement will be filed within 120 days after the end of our fiscal year.</w:t>
      </w:r>
    </w:p>
    <w:p>
      <w:pPr>
        <w:spacing w:after="0" w:line="80" w:lineRule="exact"/>
        <w:rPr>
          <w:sz w:val="20"/>
          <w:szCs w:val="20"/>
          <w:color w:val="auto"/>
        </w:rPr>
      </w:pPr>
    </w:p>
    <w:p>
      <w:pPr>
        <w:jc w:val="both"/>
        <w:ind w:firstLine="4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regarding the Company’s executive officers is set forth under the heading “Information about our Executive Officers” in Part I of this Form 10-K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-185420</wp:posOffset>
            </wp:positionV>
            <wp:extent cx="11112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9105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4" w:lineRule="exact"/>
        <w:rPr>
          <w:sz w:val="20"/>
          <w:szCs w:val="20"/>
          <w:color w:val="auto"/>
        </w:rPr>
      </w:pPr>
    </w:p>
    <w:p>
      <w:pPr>
        <w:jc w:val="both"/>
        <w:ind w:firstLine="499"/>
        <w:spacing w:after="0" w:line="258" w:lineRule="auto"/>
        <w:rPr>
          <w:sz w:val="20"/>
          <w:szCs w:val="20"/>
          <w:color w:val="auto"/>
        </w:rPr>
      </w:pPr>
      <w:r>
        <w:rPr>
          <w:rFonts w:ascii="Times New Roman" w:cs="Times New Roman" w:eastAsia="Times New Roman" w:hAnsi="Times New Roman"/>
          <w:sz w:val="18"/>
          <w:szCs w:val="18"/>
          <w:color w:val="auto"/>
        </w:rPr>
        <w:t xml:space="preserve">Lands’ End has adopted a Code of Conduct, which applies to all employees, including our principal executive officer, principal financial officer and principal accounting officer, and a Code of Conduct for its Board of Directors. Directors who are also officers of Lands’ End are subject to both codes of conduct. Each code of conduct is a code of ethics as defined in Item 406 of SEC Regulation S-K. The codes of conduct are available on the Corporate Governance section under Investor Relations on our website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Any amendment to, or waiver from, a provision of either code of conduct will be posted to the above-referenced website.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changes to the process by which stockholders may recommend nominees to the Board of Directors during the last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The information required by this item is set forth in our 2025 Proxy Statement under Item 1. Election of Directors (i) under the heading “Compensation of Directors,” and (ii) under the heading “Executive Compensation,” under the subheadings “Compensation Discussion and Analysis,” “Compensation Committee Report,” and “Compensation Committee Interlocks and Insider Participation,” “Summary Compensation Table,” “Grants of Plan-Based Awards,” “Outstanding Equity Awards at 2024 Fiscal Year End,” “Option Exercises and Stock Vested,” “Employment Arrangements,” “Potential Payments upon Termination of Employment,” “Chief Executive Officer Pay Ratio” and “Policies and Practices Related to the Grant of Certain Equity Awards” (and excluding the information under the heading “Pay Versus Performance”) and is incorporated herein by reference. The material incorporated herein by reference to the information set forth under the heading “Executive Compensation - Compensation Committee Report” of the 2025 Proxy Statement shall be deemed furnished, and not filed, in this Annual Report on Form 10-K and shall not be deemed incorporated by reference in any filing under the Securities Act of 1933, as amended, or the Securities Exchange Act of 1934, as amended, as a result of this furnishing except to the extent that it is specifically incorporated by reference by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is incorporated herein by reference to the material under the heading “Item 1. Election of Directors - Beneficial Ownership of the Company’s Common Stock” of the 2025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Company’s equity compensation plans as of January 31, 2025:</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20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2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and rights (in</w:t>
            </w:r>
          </w:p>
        </w:tc>
        <w:tc>
          <w:tcPr>
            <w:tcW w:w="100" w:type="dxa"/>
            <w:vAlign w:val="bottom"/>
          </w:tcPr>
          <w:p>
            <w:pPr>
              <w:spacing w:after="0"/>
              <w:rPr>
                <w:sz w:val="12"/>
                <w:szCs w:val="12"/>
                <w:color w:val="auto"/>
              </w:rPr>
            </w:pPr>
          </w:p>
        </w:tc>
        <w:tc>
          <w:tcPr>
            <w:tcW w:w="12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73"/>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Plan Category</w:t>
            </w:r>
          </w:p>
        </w:tc>
        <w:tc>
          <w:tcPr>
            <w:tcW w:w="4120" w:type="dxa"/>
            <w:vAlign w:val="bottom"/>
            <w:vMerge w:val="restart"/>
          </w:tcPr>
          <w:p>
            <w:pPr>
              <w:spacing w:after="0"/>
              <w:rPr>
                <w:sz w:val="15"/>
                <w:szCs w:val="15"/>
                <w:color w:val="auto"/>
              </w:rPr>
            </w:pPr>
          </w:p>
        </w:tc>
        <w:tc>
          <w:tcPr>
            <w:tcW w:w="12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5"/>
                <w:szCs w:val="15"/>
                <w:color w:val="auto"/>
              </w:rPr>
            </w:pPr>
          </w:p>
        </w:tc>
        <w:tc>
          <w:tcPr>
            <w:tcW w:w="11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200" w:type="dxa"/>
            <w:vAlign w:val="bottom"/>
          </w:tcPr>
          <w:p>
            <w:pPr>
              <w:jc w:val="center"/>
              <w:ind w:right="42"/>
              <w:spacing w:after="0" w:line="169" w:lineRule="exact"/>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14"/>
                <w:szCs w:val="14"/>
                <w:color w:val="auto"/>
              </w:rPr>
            </w:pPr>
          </w:p>
        </w:tc>
        <w:tc>
          <w:tcPr>
            <w:tcW w:w="1200" w:type="dxa"/>
            <w:vAlign w:val="bottom"/>
          </w:tcPr>
          <w:p>
            <w:pPr>
              <w:jc w:val="center"/>
              <w:ind w:right="44"/>
              <w:spacing w:after="0" w:line="169" w:lineRule="exact"/>
              <w:rPr>
                <w:sz w:val="20"/>
                <w:szCs w:val="20"/>
                <w:color w:val="auto"/>
              </w:rPr>
            </w:pPr>
            <w:r>
              <w:rPr>
                <w:rFonts w:ascii="Times New Roman" w:cs="Times New Roman" w:eastAsia="Times New Roman" w:hAnsi="Times New Roman"/>
                <w:sz w:val="18"/>
                <w:szCs w:val="18"/>
                <w:color w:val="auto"/>
                <w:w w:val="95"/>
              </w:rPr>
              <w:t>(b)</w:t>
            </w:r>
          </w:p>
        </w:tc>
        <w:tc>
          <w:tcPr>
            <w:tcW w:w="80" w:type="dxa"/>
            <w:vAlign w:val="bottom"/>
          </w:tcPr>
          <w:p>
            <w:pPr>
              <w:spacing w:after="0"/>
              <w:rPr>
                <w:sz w:val="14"/>
                <w:szCs w:val="14"/>
                <w:color w:val="auto"/>
              </w:rPr>
            </w:pPr>
          </w:p>
        </w:tc>
        <w:tc>
          <w:tcPr>
            <w:tcW w:w="1160" w:type="dxa"/>
            <w:vAlign w:val="bottom"/>
          </w:tcPr>
          <w:p>
            <w:pPr>
              <w:jc w:val="center"/>
              <w:ind w:right="4"/>
              <w:spacing w:after="0" w:line="169" w:lineRule="exact"/>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1,441</w:t>
            </w:r>
          </w:p>
        </w:tc>
        <w:tc>
          <w:tcPr>
            <w:tcW w:w="13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22.00</w:t>
            </w:r>
          </w:p>
        </w:tc>
        <w:tc>
          <w:tcPr>
            <w:tcW w:w="12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w:t>
            </w:r>
          </w:p>
        </w:tc>
        <w:tc>
          <w:tcPr>
            <w:tcW w:w="1200" w:type="dxa"/>
            <w:vAlign w:val="bottom"/>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rPr>
              <w:t>226</w:t>
            </w:r>
          </w:p>
        </w:tc>
        <w:tc>
          <w:tcPr>
            <w:tcW w:w="130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1160" w:type="dxa"/>
            <w:vAlign w:val="bottom"/>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security holders***</w:t>
            </w:r>
          </w:p>
        </w:tc>
        <w:tc>
          <w:tcPr>
            <w:tcW w:w="12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9"/>
                <w:szCs w:val="19"/>
                <w:color w:val="auto"/>
              </w:rPr>
            </w:pPr>
          </w:p>
        </w:tc>
        <w:tc>
          <w:tcPr>
            <w:tcW w:w="11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8"/>
        <w:spacing w:after="0" w:line="261" w:lineRule="auto"/>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take into account the shares issuable upon vesting of outstanding awards of RSUs, which have no exercise price.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Represents shares of common stock that may be issued pursuant to the Lands’ End, Inc. Amended and Restated 2017 Stock Plan (the “2017 Stock Plan”). Awards under the 2017 Stock Plan may be restricted stock, stock unit awards, incentive stock options, nonqualified stock options, stock appreciation rights, or certain other stock-based awards.</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commencing employment, our CEO was granted options on November 1, 2022 to purchase 168,081 shares of the Company’s common stock of which 84,041 shares were unvested as of January 31, 2025, and 115,633 restricted stock units of which 57,817 restricted stock units were unvested as of January 31, 2025. These awards were made as inducement grants outside of our stockholder approved stock plans in accordance with Nasdaq Listing Rule 5635(c)(4).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99"/>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is incorporated herein by reference to the material under the headings “Certain Relationships and Transactions” and “Corporate Governance” of the 2025 Proxy Statement.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firstLine="499"/>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incorporated herein by reference to the material under the heading “Item 3. Ratification of Appointment of Independent Registered Public Accounting Firm - Independent Registered Public Accounting Firm Fees” of the 2025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required under this item is filed as part of this report:</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the listing of Financial Statements included as a part of this Form 10-K in Item 8 of Part II on page 46 of this report.</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included in this Form 10-K.</w:t>
      </w:r>
    </w:p>
    <w:p>
      <w:pPr>
        <w:spacing w:after="0" w:line="68"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documents are filed (or furnished, where indicated) as exhibits hereto:</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Exhibit Description</w:t>
      </w:r>
    </w:p>
    <w:p>
      <w:pPr>
        <w:sectPr>
          <w:pgSz w:w="11900" w:h="16838" w:orient="portrait"/>
          <w:cols w:equalWidth="0" w:num="1">
            <w:col w:w="11220"/>
          </w:cols>
          <w:pgMar w:left="320" w:top="769" w:right="359" w:bottom="1440" w:gutter="0" w:footer="0" w:header="0"/>
        </w:sectPr>
      </w:pPr>
    </w:p>
    <w:p>
      <w:pPr>
        <w:spacing w:after="0" w:line="207"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95">
        <w:r>
          <w:rPr>
            <w:rFonts w:ascii="Times New Roman" w:cs="Times New Roman" w:eastAsia="Times New Roman" w:hAnsi="Times New Roman"/>
            <w:sz w:val="17"/>
            <w:szCs w:val="17"/>
            <w:u w:val="single" w:color="auto"/>
            <w:color w:val="0000FF"/>
          </w:rPr>
          <w:t>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97">
        <w:r>
          <w:rPr>
            <w:rFonts w:ascii="Times New Roman" w:cs="Times New Roman" w:eastAsia="Times New Roman" w:hAnsi="Times New Roman"/>
            <w:sz w:val="17"/>
            <w:szCs w:val="17"/>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199">
        <w:r>
          <w:rPr>
            <w:rFonts w:ascii="Times New Roman" w:cs="Times New Roman" w:eastAsia="Times New Roman" w:hAnsi="Times New Roman"/>
            <w:sz w:val="17"/>
            <w:szCs w:val="17"/>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60"/>
        <w:spacing w:after="0"/>
        <w:rPr>
          <w:rFonts w:ascii="Times New Roman" w:cs="Times New Roman" w:eastAsia="Times New Roman" w:hAnsi="Times New Roman"/>
          <w:sz w:val="17"/>
          <w:szCs w:val="17"/>
          <w:u w:val="single" w:color="auto"/>
          <w:color w:val="0000FF"/>
        </w:rPr>
      </w:pPr>
      <w:hyperlink r:id="rId201">
        <w:r>
          <w:rPr>
            <w:rFonts w:ascii="Times New Roman" w:cs="Times New Roman" w:eastAsia="Times New Roman" w:hAnsi="Times New Roman"/>
            <w:sz w:val="17"/>
            <w:szCs w:val="17"/>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1428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and Distribution Agreement, dated as of April 4, 2014, by and between Sears Holdings Corporation and Lands’ End,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 on April 8, 2014 (File No. 001-09769)).</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Amended and Restated Certificate of Incorporation of Lands’ End, Inc. (incorporated by reference to Exhibit 3.1 of the Company’s Annual Report on Form 10-K for the fiscal year ended January 28, 2022 (File No. 001-09769))</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Second Amended and Restated Bylaws of Lands’ End, Inc. (incorporated by reference to Exhibit 3.1 to the Company’s Current Report on Form 8-K filed on September 23, 2024 (File No. 001-09769)).</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ABL Credit Agreement, dated as of November 16, 2017, by and between Lands’ End, Inc. (as the Lead Borrower), Wells Fargo Bank, N.A. (as Agent, L/C Issuer and Swing Line Lender), the Other Lenders party thereto, Wells Fargo Bank, N.A. (as Sole Lead Arranger and Sole Bookrunner) and BMO Harris Bank, N.A. (as Syndication Agent), and SunTrust Bank (as Documentation Agent) (incorporated by reference to Exhibit 4.2 to the Company’s Annual Report on Form 10-K for the fiscal year ended February 2, 2018 (File No. 001-09769)).</w:t>
      </w:r>
    </w:p>
    <w:p>
      <w:pPr>
        <w:spacing w:after="0" w:line="183" w:lineRule="exact"/>
        <w:rPr>
          <w:sz w:val="20"/>
          <w:szCs w:val="20"/>
          <w:color w:val="auto"/>
        </w:rPr>
      </w:pPr>
    </w:p>
    <w:p>
      <w:pPr>
        <w:sectPr>
          <w:pgSz w:w="11900" w:h="16838" w:orient="portrait"/>
          <w:cols w:equalWidth="0" w:num="2">
            <w:col w:w="680" w:space="600"/>
            <w:col w:w="9940"/>
          </w:cols>
          <w:pgMar w:left="320" w:top="769" w:right="359" w:bottom="1440" w:gutter="0" w:footer="0" w:header="0"/>
          <w:type w:val="continuous"/>
        </w:sectPr>
      </w:pPr>
    </w:p>
    <w:p>
      <w:pPr>
        <w:ind w:left="1280" w:right="100" w:hanging="813"/>
        <w:spacing w:after="0" w:line="281" w:lineRule="auto"/>
        <w:tabs>
          <w:tab w:leader="none" w:pos="1260" w:val="left"/>
        </w:tabs>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First Amendment to ABL Credit Agreement, dated December 3, 2019, by and between Lands’ End, Inc. (as the Lead Borrower), Wells Fargo Bank, N.A. (as Agent, L/C Issuer and Swing Line Lender), the Other Lenders party thereto, Citizens Bank, N.A. (as Lender) and Suntrust Bank (as Lender), BMO Harris Bank N.A. (as Lender), and JPMorgan Chase Bank N.A. (as Lender) (incorporated by reference to Exhibit 4.2 to the Company’s Annual Report on Form 10-K for the fiscal year ended January 30,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-457835</wp:posOffset>
            </wp:positionV>
            <wp:extent cx="1428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44" w:lineRule="exact"/>
        <w:rPr>
          <w:sz w:val="20"/>
          <w:szCs w:val="20"/>
          <w:color w:val="auto"/>
        </w:rPr>
      </w:pPr>
    </w:p>
    <w:p>
      <w:pPr>
        <w:ind w:left="1280" w:right="120" w:hanging="813"/>
        <w:spacing w:after="0" w:line="261" w:lineRule="auto"/>
        <w:tabs>
          <w:tab w:leader="none" w:pos="126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color w:val="0000FF"/>
        </w:rPr>
        <w:tab/>
        <w:t>Second Amendment to ABL Credit Agreement, dated August 12, 2020, by and among Lands’ End, Inc. (as the Lead Borrower), the guarantors party thereto, the lenders party thereto and Wells Fargo Bank, National Association (as Agent, L/C Issuer and Swing Line Lender) (incorporated by reference to Exhibit 4.1 to the Company’s Quarterly Report on Form 10-Q for the fiscal quarter ended July 31, 2020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-448310</wp:posOffset>
            </wp:positionV>
            <wp:extent cx="1428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280" w:hanging="813"/>
        <w:spacing w:after="0" w:line="289" w:lineRule="auto"/>
        <w:tabs>
          <w:tab w:leader="none" w:pos="1260" w:val="left"/>
        </w:tabs>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u w:val="single" w:color="auto"/>
            <w:color w:val="0000FF"/>
          </w:rPr>
          <w:t>4.4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Third Amendment to ABL Credit Agreement, dated July 29, 2021,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August 4,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-324485</wp:posOffset>
            </wp:positionV>
            <wp:extent cx="1428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38" w:lineRule="exact"/>
        <w:rPr>
          <w:sz w:val="20"/>
          <w:szCs w:val="20"/>
          <w:color w:val="auto"/>
        </w:rPr>
      </w:pPr>
    </w:p>
    <w:p>
      <w:pPr>
        <w:ind w:left="1300" w:right="220" w:hanging="813"/>
        <w:spacing w:after="0" w:line="289" w:lineRule="auto"/>
        <w:tabs>
          <w:tab w:leader="none" w:pos="1280" w:val="left"/>
        </w:tabs>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u w:val="single" w:color="auto"/>
            <w:color w:val="0000FF"/>
          </w:rPr>
          <w:t>4.5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Amendment to Credit Agreement, dated May 12, 2023, by and among Lands’ End, Inc. (as the Lead Borrower), the guarantors party thereto, the lenders party thereto and Wells Fargo Bank, National Association (as administrative agent and collateral agent) (incorporated by reference to Exhibit 4.1 of the Company’s Current Report on Form 8-K filed on May 17,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-324485</wp:posOffset>
            </wp:positionV>
            <wp:extent cx="1428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38" w:lineRule="exact"/>
        <w:rPr>
          <w:sz w:val="20"/>
          <w:szCs w:val="20"/>
          <w:color w:val="auto"/>
        </w:rPr>
      </w:pPr>
    </w:p>
    <w:p>
      <w:pPr>
        <w:ind w:left="1300" w:right="100" w:hanging="858"/>
        <w:spacing w:after="0" w:line="266" w:lineRule="auto"/>
        <w:tabs>
          <w:tab w:leader="none" w:pos="1280" w:val="left"/>
        </w:tabs>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u w:val="single" w:color="auto"/>
            <w:color w:val="0000FF"/>
          </w:rPr>
          <w:t>4.</w:t>
        </w:r>
      </w:hyperlink>
      <w:hyperlink r:id="rId214">
        <w:r>
          <w:rPr>
            <w:rFonts w:ascii="Times New Roman" w:cs="Times New Roman" w:eastAsia="Times New Roman" w:hAnsi="Times New Roman"/>
            <w:sz w:val="18"/>
            <w:szCs w:val="18"/>
            <w:u w:val="single" w:color="auto"/>
            <w:color w:val="0000FF"/>
          </w:rPr>
          <w:t>6†</w:t>
        </w:r>
      </w:hyperlink>
      <w:r>
        <w:rPr>
          <w:rFonts w:ascii="Times New Roman" w:cs="Times New Roman" w:eastAsia="Times New Roman" w:hAnsi="Times New Roman"/>
          <w:sz w:val="18"/>
          <w:szCs w:val="18"/>
          <w:color w:val="0000FF"/>
        </w:rPr>
        <w:tab/>
        <w:t>Term Loan Credit Agreement, dated December 29, 2023, by and among Lands’ End, Inc. (as the borrower), the guarantors party thereto, the lenders party thereto, and Blue Torch Finance LLC (as administrative agent and collateral agent) (incorporated by reference to Exhibit 4.1 of the Company’s Current Report on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-313055</wp:posOffset>
            </wp:positionV>
            <wp:extent cx="200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6" w:lineRule="exact"/>
        <w:rPr>
          <w:sz w:val="20"/>
          <w:szCs w:val="20"/>
          <w:color w:val="auto"/>
        </w:rPr>
      </w:pPr>
    </w:p>
    <w:p>
      <w:pPr>
        <w:ind w:left="1300" w:right="20" w:hanging="858"/>
        <w:spacing w:after="0" w:line="266" w:lineRule="auto"/>
        <w:tabs>
          <w:tab w:leader="none" w:pos="1280" w:val="left"/>
        </w:tabs>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4.7†</w:t>
        </w:r>
      </w:hyperlink>
      <w:r>
        <w:rPr>
          <w:rFonts w:ascii="Times New Roman" w:cs="Times New Roman" w:eastAsia="Times New Roman" w:hAnsi="Times New Roman"/>
          <w:sz w:val="18"/>
          <w:szCs w:val="18"/>
          <w:color w:val="0000FF"/>
        </w:rPr>
        <w:tab/>
        <w:t>Guaranty and Security Agreement, dated December 29, 2023, by and among Lands’ End, Inc., as the Borrower, and the other grantors party thereto and Blue Torch Finance LLC, as Agent (incorporated by reference to Exhibit 4.2 of the Company’s Current Report on Form 8-K filed on January 3, 2024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-313055</wp:posOffset>
            </wp:positionV>
            <wp:extent cx="200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56"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*4.8</w:t>
      </w:r>
      <w:r>
        <w:rPr>
          <w:sz w:val="20"/>
          <w:szCs w:val="20"/>
          <w:color w:val="auto"/>
        </w:rPr>
        <w:tab/>
      </w:r>
      <w:r>
        <w:rPr>
          <w:rFonts w:ascii="Times New Roman" w:cs="Times New Roman" w:eastAsia="Times New Roman" w:hAnsi="Times New Roman"/>
          <w:sz w:val="17"/>
          <w:szCs w:val="17"/>
          <w:color w:val="auto"/>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-7620</wp:posOffset>
            </wp:positionV>
            <wp:extent cx="200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5" w:lineRule="exact"/>
        <w:rPr>
          <w:sz w:val="20"/>
          <w:szCs w:val="20"/>
          <w:color w:val="auto"/>
        </w:rPr>
      </w:pPr>
    </w:p>
    <w:p>
      <w:pPr>
        <w:ind w:left="1300" w:right="40" w:hanging="858"/>
        <w:spacing w:after="0" w:line="282" w:lineRule="auto"/>
        <w:tabs>
          <w:tab w:leader="none" w:pos="1280" w:val="left"/>
        </w:tabs>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0000FF"/>
        </w:rPr>
        <w:tab/>
        <w:t>Lands’ End, Inc. Amended and Restated 2017 Stock Plan (incorporated by reference to Exhibit 10.1 of the Company’s Current Report on Form 8-K filed on May 13,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440" w:hanging="858"/>
        <w:spacing w:after="0" w:line="282" w:lineRule="auto"/>
        <w:tabs>
          <w:tab w:leader="none" w:pos="128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0000FF"/>
        </w:rPr>
        <w:tab/>
        <w:t>Amendment No. 1 to the Lands’ End, Inc. Amended and Restated 2017 Stock Plan (incorporated by reference to Exhibit 10.1 of the Company’s Current Report on Form 8-K filed on June 13,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420" w:hanging="858"/>
        <w:spacing w:after="0" w:line="282" w:lineRule="auto"/>
        <w:tabs>
          <w:tab w:leader="none" w:pos="128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0000FF"/>
        </w:rPr>
        <w:tab/>
        <w:t>Director Compensation Policy effective as of March 19, 2019 (incorporated by reference to Exhibit 10.21 to the Company’s Annual Report on Form 10-K for the fiscal year ended February 1, 2019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60" w:hanging="858"/>
        <w:spacing w:after="0" w:line="282" w:lineRule="auto"/>
        <w:tabs>
          <w:tab w:leader="none" w:pos="128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0000FF"/>
        </w:rPr>
        <w:tab/>
        <w:t>Lands’ End, Inc. Umbrella Incentive Program (As Amended and Restated) (incorporated by reference to Exhibit 10.12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left="1300" w:right="360" w:hanging="858"/>
        <w:spacing w:after="0" w:line="282" w:lineRule="auto"/>
        <w:tabs>
          <w:tab w:leader="none" w:pos="1280" w:val="left"/>
        </w:tabs>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0000FF"/>
        </w:rPr>
        <w:tab/>
        <w:t>Lands’ End, Inc. 2014 Stock Plan (As Amended and Restated) (incorporated by reference to Exhibit 10.11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260" w:hanging="858"/>
        <w:spacing w:after="0" w:line="282" w:lineRule="auto"/>
        <w:tabs>
          <w:tab w:leader="none" w:pos="1280" w:val="left"/>
        </w:tabs>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color w:val="0000FF"/>
        </w:rPr>
        <w:tab/>
        <w:t>Form of Time-Based Restricted Stock Unit Agreement (incorporated by reference to Exhibit 10.5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480" w:hanging="858"/>
        <w:spacing w:after="0" w:line="282" w:lineRule="auto"/>
        <w:tabs>
          <w:tab w:leader="none" w:pos="1280" w:val="left"/>
        </w:tabs>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0000FF"/>
        </w:rPr>
        <w:tab/>
        <w:t>Form of Performance-Based Restricted Stock Unit Agreement (incorporated by reference to Exhibit 10.6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60" w:hanging="858"/>
        <w:spacing w:after="0" w:line="282" w:lineRule="auto"/>
        <w:tabs>
          <w:tab w:leader="none" w:pos="1280" w:val="left"/>
        </w:tabs>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0000FF"/>
        </w:rPr>
        <w:tab/>
        <w:t>Form of Nonqualified Stock Option Agreement (incorporated by reference to Exhibit 10.7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42" w:lineRule="exact"/>
        <w:rPr>
          <w:sz w:val="20"/>
          <w:szCs w:val="20"/>
          <w:color w:val="auto"/>
        </w:rPr>
      </w:pPr>
    </w:p>
    <w:p>
      <w:pPr>
        <w:ind w:left="1300" w:right="520" w:hanging="858"/>
        <w:spacing w:after="0" w:line="282" w:lineRule="auto"/>
        <w:tabs>
          <w:tab w:leader="none" w:pos="1280" w:val="left"/>
        </w:tabs>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0000FF"/>
        </w:rPr>
        <w:tab/>
        <w:t>Lands’ End, Inc. Annual Incentive Plan (As Amended and Restated) (incorporated by reference to Exhibit 10.16 to the Company’s Annual Report on Form 10-K for the fiscal year ended January 30, 2015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-185420</wp:posOffset>
            </wp:positionV>
            <wp:extent cx="2000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p>
      <w:pPr>
        <w:spacing w:after="0" w:line="225"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10.10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40">
        <w:r>
          <w:rPr>
            <w:rFonts w:ascii="Times New Roman" w:cs="Times New Roman" w:eastAsia="Times New Roman" w:hAnsi="Times New Roman"/>
            <w:sz w:val="18"/>
            <w:szCs w:val="18"/>
            <w:u w:val="single" w:color="auto"/>
            <w:color w:val="0000FF"/>
          </w:rPr>
          <w:t>10.11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42">
        <w:r>
          <w:rPr>
            <w:rFonts w:ascii="Times New Roman" w:cs="Times New Roman" w:eastAsia="Times New Roman" w:hAnsi="Times New Roman"/>
            <w:sz w:val="18"/>
            <w:szCs w:val="18"/>
            <w:u w:val="single" w:color="auto"/>
            <w:color w:val="0000FF"/>
          </w:rPr>
          <w:t>10.12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rFonts w:ascii="Times New Roman" w:cs="Times New Roman" w:eastAsia="Times New Roman" w:hAnsi="Times New Roman"/>
          <w:sz w:val="18"/>
          <w:szCs w:val="18"/>
          <w:u w:val="single" w:color="auto"/>
          <w:color w:val="0000FF"/>
        </w:rPr>
      </w:pPr>
      <w:hyperlink r:id="rId244">
        <w:r>
          <w:rPr>
            <w:rFonts w:ascii="Times New Roman" w:cs="Times New Roman" w:eastAsia="Times New Roman" w:hAnsi="Times New Roman"/>
            <w:sz w:val="18"/>
            <w:szCs w:val="18"/>
            <w:u w:val="single" w:color="auto"/>
            <w:color w:val="0000FF"/>
          </w:rPr>
          <w:t>10.13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57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Lands’ End, Inc. Long-Term Incentive Program (As Amended and Restated) (incorporated by reference to Exhibit 10.14 to the Company’s Annual Report on Form 10-K for the fiscal year ended January 30, 2015 (File No. 001-09769)).**</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Lands’ End, Inc. Cash Long-Term Incentive Plan (As Amended and Restated) (incorporated by reference to Exhibit 10.15 to the Company’s Annual Report on Form 10-K for the fiscal year ended January 30, 2015 (File No. 001-09769)).**</w:t>
      </w:r>
    </w:p>
    <w:p>
      <w:pPr>
        <w:spacing w:after="0" w:line="16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Letter from Lands’ End, Inc. to Andrew J. McLean relating to employment, dated September 6, 2022 (incorporated by reference to Exhibit 10.1 to the Company’s Quarterly Report on Form 10-Q for the fiscal quarter ended October 28, 2022 (File No. 001-09769)).**</w:t>
      </w:r>
    </w:p>
    <w:p>
      <w:pPr>
        <w:spacing w:after="0" w:line="14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Executive Severance Agreement by and between Lands’ End, Inc. and Andrew J. McLean, dated September 6, 2022 (incorporated by reference to Exhibit 10.2 to the Company’s Quarterly Report on Form 10-Q for the fiscal quarter ended October 22, 2022 (File No. 001-09769)).**</w:t>
      </w:r>
    </w:p>
    <w:p>
      <w:pPr>
        <w:spacing w:after="0" w:line="176" w:lineRule="exact"/>
        <w:rPr>
          <w:sz w:val="20"/>
          <w:szCs w:val="20"/>
          <w:color w:val="auto"/>
        </w:rPr>
      </w:pPr>
    </w:p>
    <w:p>
      <w:pPr>
        <w:sectPr>
          <w:pgSz w:w="11900" w:h="16838" w:orient="portrait"/>
          <w:cols w:equalWidth="0" w:num="2">
            <w:col w:w="800" w:space="500"/>
            <w:col w:w="9900"/>
          </w:cols>
          <w:pgMar w:left="320" w:top="769" w:right="379" w:bottom="1440" w:gutter="0" w:footer="0" w:header="0"/>
          <w:type w:val="continuous"/>
        </w:sect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Nonqualified Stock Option Agreement dated November 1, 2022, by and between Lands’ End, Inc. and Andrew J. McLean (incorporated by reference to Exhibit 99.2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0" w:lineRule="exact"/>
        <w:rPr>
          <w:sz w:val="20"/>
          <w:szCs w:val="20"/>
          <w:color w:val="auto"/>
        </w:rPr>
      </w:pPr>
    </w:p>
    <w:p>
      <w:pPr>
        <w:ind w:left="1300" w:right="300" w:hanging="903"/>
        <w:spacing w:after="0" w:line="312" w:lineRule="auto"/>
        <w:tabs>
          <w:tab w:leader="none" w:pos="1280" w:val="left"/>
        </w:tabs>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Sign-On Restricted Stock Unit Agreement dated November 1, 2022, by and between Lands’ End, Inc. and Andrew J. McLean (incorporated by reference to Exhibit 99.3 to the Form S-8 filed by Lands’ End, Inc. on November 4, 2022 (File No. 333-268170)).**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0" w:lineRule="exact"/>
        <w:rPr>
          <w:sz w:val="20"/>
          <w:szCs w:val="20"/>
          <w:color w:val="auto"/>
        </w:rPr>
      </w:pPr>
    </w:p>
    <w:p>
      <w:pPr>
        <w:ind w:left="1300" w:right="80" w:hanging="903"/>
        <w:spacing w:after="0" w:line="282" w:lineRule="auto"/>
        <w:tabs>
          <w:tab w:leader="none" w:pos="1280" w:val="left"/>
        </w:tabs>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0000FF"/>
        </w:rPr>
        <w:tab/>
        <w:t>Letter from Lands’ End, Inc. to Peter L. Gray relating to employment, dated April 21, 2017 (incorporated by reference to Exhibit 10.1 to the Company’s Quarterly Report on Form 10-Q for the fiscal quarter ended April 28, 2017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300" w:right="100" w:hanging="903"/>
        <w:spacing w:after="0" w:line="282" w:lineRule="auto"/>
        <w:tabs>
          <w:tab w:leader="none" w:pos="1280" w:val="left"/>
        </w:tabs>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Executive Severance Agreement by and between Lands’ End, Inc. and Peter L. Gray, dated April 21, 2017 (incorporated by reference to Exhibit 10.3 to the Company’s Quarterly Report on Form 10-Q for the fiscal quarter ended July 30, 2021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42" w:lineRule="exact"/>
        <w:rPr>
          <w:sz w:val="20"/>
          <w:szCs w:val="20"/>
          <w:color w:val="auto"/>
        </w:rPr>
      </w:pPr>
    </w:p>
    <w:p>
      <w:pPr>
        <w:ind w:left="1300" w:hanging="903"/>
        <w:spacing w:after="0" w:line="282" w:lineRule="auto"/>
        <w:tabs>
          <w:tab w:leader="none" w:pos="1280" w:val="left"/>
        </w:tabs>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Letter from Lands’ End, Inc. to Peter L. Gray relating to employment, dated January 16, 2023 (incorporated by reference to Exhibit 10.27 to the Company’s Annual Report on Form 10-K for the fiscal year ended January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*10.19</w:t>
      </w:r>
      <w:r>
        <w:rPr>
          <w:sz w:val="20"/>
          <w:szCs w:val="20"/>
          <w:color w:val="auto"/>
        </w:rPr>
        <w:tab/>
      </w:r>
      <w:r>
        <w:rPr>
          <w:rFonts w:ascii="Times New Roman" w:cs="Times New Roman" w:eastAsia="Times New Roman" w:hAnsi="Times New Roman"/>
          <w:sz w:val="17"/>
          <w:szCs w:val="17"/>
          <w:color w:val="auto"/>
        </w:rPr>
        <w:t>Letter from Lands’ End, Inc. to Martin Christopher relating to employment, dated January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314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5"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0000FF"/>
        </w:rPr>
        <w:t>*10.20</w:t>
      </w:r>
      <w:r>
        <w:rPr>
          <w:sz w:val="20"/>
          <w:szCs w:val="20"/>
          <w:color w:val="auto"/>
        </w:rPr>
        <w:tab/>
      </w:r>
      <w:r>
        <w:rPr>
          <w:rFonts w:ascii="Times New Roman" w:cs="Times New Roman" w:eastAsia="Times New Roman" w:hAnsi="Times New Roman"/>
          <w:sz w:val="17"/>
          <w:szCs w:val="17"/>
          <w:color w:val="auto"/>
        </w:rPr>
        <w:t>Amended and Restated Executive Severance Agreement dated March 14, 2025 between Lands’ End, Inc. and Martin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-7620</wp:posOffset>
            </wp:positionV>
            <wp:extent cx="314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5" w:lineRule="exact"/>
        <w:rPr>
          <w:sz w:val="20"/>
          <w:szCs w:val="20"/>
          <w:color w:val="auto"/>
        </w:rPr>
      </w:pPr>
    </w:p>
    <w:p>
      <w:pPr>
        <w:ind w:left="1300" w:right="200" w:hanging="903"/>
        <w:spacing w:after="0" w:line="312" w:lineRule="auto"/>
        <w:tabs>
          <w:tab w:leader="none" w:pos="1280" w:val="left"/>
        </w:tabs>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Letter from Lands’ End, Inc. to Bernard McCracken relating to employment, dated September 14, 2023 (incorporated by reference to Exhibit 10.1 to the Company’s Quarterly Report on Form 10-Q for the fiscal quarter ended October 27,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20" w:lineRule="exact"/>
        <w:rPr>
          <w:sz w:val="20"/>
          <w:szCs w:val="20"/>
          <w:color w:val="auto"/>
        </w:rPr>
      </w:pPr>
    </w:p>
    <w:p>
      <w:pPr>
        <w:ind w:left="1300" w:right="480" w:hanging="903"/>
        <w:spacing w:after="0" w:line="266" w:lineRule="auto"/>
        <w:tabs>
          <w:tab w:leader="none" w:pos="128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Amended and Restated Executive Severance Agreement dated March 11, 2025, between Lands’ End, Inc. and Bernard McCracken (incorporated by reference to Exhibit 10.1 of the Company’s Current Report on Form 8-K filed on March 14, 2025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-313055</wp:posOffset>
            </wp:positionV>
            <wp:extent cx="2571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56" w:lineRule="exact"/>
        <w:rPr>
          <w:sz w:val="20"/>
          <w:szCs w:val="20"/>
          <w:color w:val="auto"/>
        </w:rPr>
      </w:pPr>
    </w:p>
    <w:p>
      <w:pPr>
        <w:ind w:left="1300" w:right="20" w:hanging="903"/>
        <w:spacing w:after="0" w:line="282" w:lineRule="auto"/>
        <w:tabs>
          <w:tab w:leader="none" w:pos="128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t>Letter from Lands’ End, Inc. to Angela Rieger relating to employment, dated January 16, 2023 (incorporated by reference to Exhibit 10.2 to the Company’s Quarterly Report on Form 10-Q for the fiscal quarter ended July 28,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-185420</wp:posOffset>
            </wp:positionV>
            <wp:extent cx="2571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left="1300" w:right="120" w:hanging="903"/>
        <w:spacing w:after="0" w:line="312" w:lineRule="auto"/>
        <w:tabs>
          <w:tab w:leader="none" w:pos="1280" w:val="left"/>
        </w:tabs>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Executive Severance Agreement by and between Lands’ End, Inc. and Angela Rieger, dated March 10, 2016 (incorporated by reference to Exhibit 10.3 to the Company’s Quarterly Report on Form 10-Q for the fiscal quarter ended July 28, 2023 (File No. 001-09769)).**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-198755</wp:posOffset>
            </wp:positionV>
            <wp:extent cx="2571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gridSpan w:val="6"/>
          </w:tcPr>
          <w:p>
            <w:pPr>
              <w:jc w:val="center"/>
              <w:ind w:left="250"/>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25</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Letter from Lands’ End, Inc. to Angela Rieger relating to employment, effective January 22, 2024 (incorporated by reference to Exhibit</w:t>
            </w:r>
          </w:p>
        </w:tc>
      </w:tr>
      <w:tr>
        <w:trPr>
          <w:trHeight w:val="237"/>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10.26 to the Company’s Annual Report on Form 10-K for the fiscal year ended February 2, 2024 (File No. 001-09769)).**</w:t>
            </w:r>
          </w:p>
        </w:tc>
      </w:tr>
      <w:tr>
        <w:trPr>
          <w:trHeight w:val="392"/>
        </w:trPr>
        <w:tc>
          <w:tcPr>
            <w:tcW w:w="800" w:type="dxa"/>
            <w:vAlign w:val="bottom"/>
            <w:gridSpan w:val="6"/>
          </w:tcPr>
          <w:p>
            <w:pPr>
              <w:jc w:val="center"/>
              <w:ind w:left="250"/>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Angela Rieger Resignation Letter dated October 2, 2024 and effective April 15, 2025 (incorporated by reference to Exhibit 10.1 to the</w:t>
            </w:r>
          </w:p>
        </w:tc>
      </w:tr>
      <w:tr>
        <w:trPr>
          <w:trHeight w:val="237"/>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Quarterly Report on Form 10-Q for the fiscal quarter ended November 1, 2024 (File No. 001-09769)).**</w:t>
            </w:r>
          </w:p>
        </w:tc>
      </w:tr>
      <w:tr>
        <w:trPr>
          <w:trHeight w:val="392"/>
        </w:trPr>
        <w:tc>
          <w:tcPr>
            <w:tcW w:w="800" w:type="dxa"/>
            <w:vAlign w:val="bottom"/>
            <w:gridSpan w:val="6"/>
          </w:tcPr>
          <w:p>
            <w:pPr>
              <w:jc w:val="center"/>
              <w:ind w:left="250"/>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27</w:t>
              </w:r>
            </w:hyperlink>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 Agreement Pertaining to the Lands’ End, Inc. Clawback Policy (incorporated by reference to Exhibit 10.27 to the</w:t>
            </w:r>
          </w:p>
        </w:tc>
      </w:tr>
      <w:tr>
        <w:trPr>
          <w:trHeight w:val="236"/>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Annual Report on Form 10-K for the fiscal year ended February 2, 2024 (File No. 001-09769)).**</w:t>
            </w:r>
          </w:p>
        </w:tc>
      </w:tr>
      <w:tr>
        <w:trPr>
          <w:trHeight w:val="392"/>
        </w:trPr>
        <w:tc>
          <w:tcPr>
            <w:tcW w:w="360" w:type="dxa"/>
            <w:vAlign w:val="bottom"/>
            <w:gridSpan w:val="2"/>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 End, Inc. Insider Trading Policy</w:t>
            </w:r>
          </w:p>
        </w:tc>
      </w:tr>
      <w:tr>
        <w:trPr>
          <w:trHeight w:val="412"/>
        </w:trPr>
        <w:tc>
          <w:tcPr>
            <w:tcW w:w="440" w:type="dxa"/>
            <w:vAlign w:val="bottom"/>
            <w:gridSpan w:val="3"/>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Lands’ End, Inc.</w:t>
            </w:r>
          </w:p>
        </w:tc>
      </w:tr>
      <w:tr>
        <w:trPr>
          <w:trHeight w:val="20"/>
        </w:trPr>
        <w:tc>
          <w:tcPr>
            <w:tcW w:w="28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sz w:val="24"/>
                <w:szCs w:val="24"/>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20" w:type="dxa"/>
            <w:vAlign w:val="bottom"/>
            <w:tcBorders>
              <w:bottom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Deloitte &amp; Touche LLP.</w:t>
            </w:r>
          </w:p>
        </w:tc>
      </w:tr>
      <w:tr>
        <w:trPr>
          <w:trHeight w:val="412"/>
        </w:trPr>
        <w:tc>
          <w:tcPr>
            <w:tcW w:w="80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Executive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392"/>
        </w:trPr>
        <w:tc>
          <w:tcPr>
            <w:tcW w:w="800" w:type="dxa"/>
            <w:vAlign w:val="bottom"/>
            <w:gridSpan w:val="6"/>
          </w:tcPr>
          <w:p>
            <w:pPr>
              <w:jc w:val="center"/>
              <w:ind w:left="2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Chief Financial Officer Required Under Rule 13a-14(a) and 15d-14(a) of the Securities Exchange Act of 1934, as</w:t>
            </w:r>
          </w:p>
        </w:tc>
      </w:tr>
      <w:tr>
        <w:trPr>
          <w:trHeight w:val="237"/>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w:t>
            </w:r>
          </w:p>
        </w:tc>
      </w:tr>
      <w:tr>
        <w:trPr>
          <w:trHeight w:val="391"/>
        </w:trPr>
        <w:tc>
          <w:tcPr>
            <w:tcW w:w="106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0000FF"/>
                <w:w w:val="99"/>
              </w:rPr>
              <w:t>***32.1</w:t>
            </w: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Section 1350, as adopted pursuant to Section</w:t>
            </w:r>
          </w:p>
        </w:tc>
      </w:tr>
      <w:tr>
        <w:trPr>
          <w:trHeight w:val="237"/>
        </w:trPr>
        <w:tc>
          <w:tcPr>
            <w:tcW w:w="2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906 of the Sarbanes-Oxley Act of 2002.</w:t>
            </w:r>
          </w:p>
        </w:tc>
      </w:tr>
      <w:tr>
        <w:trPr>
          <w:trHeight w:val="392"/>
        </w:trPr>
        <w:tc>
          <w:tcPr>
            <w:tcW w:w="780" w:type="dxa"/>
            <w:vAlign w:val="bottom"/>
            <w:gridSpan w:val="5"/>
          </w:tcPr>
          <w:p>
            <w:pPr>
              <w:jc w:val="center"/>
              <w:ind w:left="270"/>
              <w:spacing w:after="0"/>
              <w:rPr>
                <w:rFonts w:ascii="Times New Roman" w:cs="Times New Roman" w:eastAsia="Times New Roman" w:hAnsi="Times New Roman"/>
                <w:sz w:val="18"/>
                <w:szCs w:val="18"/>
                <w:color w:val="0000FF"/>
                <w:w w:val="95"/>
              </w:rPr>
            </w:pPr>
            <w:hyperlink r:id="rId271">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Lands’ End, Inc. Clawback Policy (incorporated by reference to Exhibit 97.1 to the Company’s Annual Report on Form 10-K for the</w:t>
            </w:r>
          </w:p>
        </w:tc>
      </w:tr>
      <w:tr>
        <w:trPr>
          <w:trHeight w:val="236"/>
        </w:trPr>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fiscal year ended February 2, 2024 (File No. 001-09769)).</w:t>
            </w:r>
          </w:p>
        </w:tc>
      </w:tr>
      <w:tr>
        <w:trPr>
          <w:trHeight w:val="414"/>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r>
        <w:trPr>
          <w:trHeight w:val="216"/>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98" w:lineRule="exact"/>
        <w:rPr>
          <w:sz w:val="20"/>
          <w:szCs w:val="20"/>
          <w:color w:val="auto"/>
        </w:rPr>
      </w:pPr>
    </w:p>
    <w:p>
      <w:pPr>
        <w:ind w:left="1320" w:hanging="783"/>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320" w:hanging="828"/>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contract or compensatory plan or arrangement.</w:t>
      </w:r>
    </w:p>
    <w:p>
      <w:pPr>
        <w:spacing w:after="0" w:line="9" w:lineRule="exact"/>
        <w:rPr>
          <w:sz w:val="20"/>
          <w:szCs w:val="20"/>
          <w:color w:val="auto"/>
        </w:rPr>
      </w:pPr>
    </w:p>
    <w:p>
      <w:pPr>
        <w:ind w:left="1320" w:hanging="873"/>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280" w:right="60" w:hanging="743"/>
        <w:spacing w:after="0" w:line="260" w:lineRule="auto"/>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will furnish copies of any such schedules and exhibits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6" w:lineRule="exact"/>
        <w:rPr>
          <w:sz w:val="20"/>
          <w:szCs w:val="20"/>
          <w:color w:val="auto"/>
        </w:rPr>
      </w:pPr>
    </w:p>
    <w:p>
      <w:pPr>
        <w:jc w:val="both"/>
        <w:ind w:firstLine="499"/>
        <w:spacing w:after="0" w:line="256" w:lineRule="auto"/>
        <w:rPr>
          <w:sz w:val="20"/>
          <w:szCs w:val="20"/>
          <w:color w:val="auto"/>
        </w:rPr>
      </w:pPr>
      <w:r>
        <w:rPr>
          <w:rFonts w:ascii="Times New Roman" w:cs="Times New Roman" w:eastAsia="Times New Roman" w:hAnsi="Times New Roman"/>
          <w:sz w:val="18"/>
          <w:szCs w:val="18"/>
          <w:color w:val="auto"/>
        </w:rPr>
        <w:t>Certain of the agreements incorporated by reference into this report contain representations and warranties and other agreements and undertakings by us and third parties. These representations and warranties, agreements and undertakings have been made as of specific dates, may be subject to important qualifications and limitations agreed to by the parties to the agreement in connection with negotiating the terms of the agreement, and have been included in the agreement for the purpose of allocating risk between the parties to the agreement rather than to establish matters as facts. Any such representations and warranties, agreements, and undertakings have been made solely for the benefit of the parties to the agreement and should not be relied upon by any other person.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5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27, 2025</w:t>
            </w:r>
          </w:p>
        </w:tc>
      </w:tr>
    </w:tbl>
    <w:p>
      <w:pPr>
        <w:spacing w:after="0" w:line="238" w:lineRule="exact"/>
        <w:rPr>
          <w:sz w:val="20"/>
          <w:szCs w:val="20"/>
          <w:color w:val="auto"/>
        </w:rPr>
      </w:pPr>
    </w:p>
    <w:p>
      <w:pPr>
        <w:ind w:right="20" w:firstLine="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80" w:type="dxa"/>
            <w:vAlign w:val="bottom"/>
          </w:tcPr>
          <w:p>
            <w:pPr>
              <w:spacing w:after="0"/>
              <w:rPr>
                <w:sz w:val="20"/>
                <w:szCs w:val="20"/>
                <w:color w:val="auto"/>
              </w:rPr>
            </w:pP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84"/>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J. McLean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 (Principal Executive Officer)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J. McLean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c>
          <w:tcPr>
            <w:tcW w:w="528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Josephine Linden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Josephine Linden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Galvin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Galvin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Gordon Hartogensis</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Gordon Hartogensis</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Elizabeth Leykum</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Leykum</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T. McClain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T. McClain</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Alicia Parker</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54"/>
        </w:trPr>
        <w:tc>
          <w:tcPr>
            <w:tcW w:w="2800" w:type="dxa"/>
            <w:vAlign w:val="bottom"/>
            <w:tcBorders>
              <w:bottom w:val="single" w:sz="8" w:color="auto"/>
            </w:tcBorders>
          </w:tcPr>
          <w:p>
            <w:pPr>
              <w:spacing w:after="0"/>
              <w:rPr>
                <w:sz w:val="4"/>
                <w:szCs w:val="4"/>
                <w:color w:val="auto"/>
              </w:rPr>
            </w:pPr>
          </w:p>
        </w:tc>
        <w:tc>
          <w:tcPr>
            <w:tcW w:w="52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Alicia Parker</w:t>
            </w:r>
          </w:p>
        </w:tc>
        <w:tc>
          <w:tcPr>
            <w:tcW w:w="5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2800" w:type="dxa"/>
            <w:vAlign w:val="bottom"/>
          </w:tcPr>
          <w:p>
            <w:pPr>
              <w:spacing w:after="0"/>
              <w:rPr>
                <w:sz w:val="24"/>
                <w:szCs w:val="24"/>
                <w:color w:val="auto"/>
              </w:rPr>
            </w:pPr>
          </w:p>
        </w:tc>
        <w:tc>
          <w:tcPr>
            <w:tcW w:w="52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94</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4.8</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Lands’ End, Inc. has one class of securities registered under Section 12 of the Securities Exchange Act of 1934, as amended: our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83" w:lineRule="exact"/>
        <w:rPr>
          <w:sz w:val="20"/>
          <w:szCs w:val="20"/>
          <w:color w:val="auto"/>
        </w:rPr>
      </w:pPr>
    </w:p>
    <w:p>
      <w:pPr>
        <w:ind w:right="140" w:firstLine="845"/>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Amended and Restated Certificate of Incorporation (the “Certificate of Incorporation”) and our Amended and Restated Bylaws (the “Bylaws”), each of which are incorporated by reference as exhibits to the Annual Report on Form 10-K. We encourage you to read our Certificate of Incorporation, our Bylaws and the applicable provisions of the Delaware General Corporation Law, as amended, for additional information.</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175" w:lineRule="exact"/>
        <w:rPr>
          <w:sz w:val="20"/>
          <w:szCs w:val="20"/>
          <w:color w:val="auto"/>
        </w:rPr>
      </w:pPr>
    </w:p>
    <w:p>
      <w:pPr>
        <w:ind w:right="60" w:firstLine="845"/>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480,000,000 shares of common stock, $0.01 par value per share (“Common Stock”). As of January 31, 2025, there were 30,842,570 shares of Common Stock outstanding. The outstanding shares of our Common Stock are fully paid and nonassessable.</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Our common stock is listed and principally traded on The Nasdaq Stock Market LLC under the symbol “LE”.</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ind w:right="40" w:firstLine="845"/>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75" w:lineRule="exact"/>
        <w:rPr>
          <w:sz w:val="20"/>
          <w:szCs w:val="20"/>
          <w:color w:val="auto"/>
        </w:rPr>
      </w:pPr>
    </w:p>
    <w:p>
      <w:pPr>
        <w:ind w:right="260" w:firstLine="845"/>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any, as may be declared from time to time by the Board of Directors in its discretion out of funds legally available for the payment of dividends.</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Holders of Common Stock will share ratably in all assets legally available for distribution to our stockholders in the event of dissolution.</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175" w:lineRule="exact"/>
        <w:rPr>
          <w:sz w:val="20"/>
          <w:szCs w:val="20"/>
          <w:color w:val="auto"/>
        </w:rPr>
      </w:pPr>
    </w:p>
    <w:p>
      <w:pPr>
        <w:ind w:right="300" w:firstLine="845"/>
        <w:spacing w:after="0" w:line="282"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Common Stock may act by unanimous written consent.</w:t>
      </w:r>
    </w:p>
    <w:p>
      <w:pPr>
        <w:spacing w:after="0" w:line="10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Computershare Investor Services is the transfer agent and registrar for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1384935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10.19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Christopher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4125 Cherokee Dr.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Madison, WI 53711-3030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Martin,</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pleased to confirm an offer of employment to you as Chief Technology Officer. In this role you will have a seat on the Executive Committee reporting to Andrew McLean, Chief Executive Officer. We all believe the future of Lands' End will provide us with many opportunities for growth and the company is well positioned for continued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key elements of the offer are as follows:</w:t>
      </w:r>
    </w:p>
    <w:p>
      <w:pPr>
        <w:spacing w:after="0" w:line="333" w:lineRule="exact"/>
        <w:rPr>
          <w:sz w:val="20"/>
          <w:szCs w:val="20"/>
          <w:color w:val="auto"/>
        </w:rPr>
      </w:pPr>
    </w:p>
    <w:p>
      <w:pPr>
        <w:ind w:left="900" w:hanging="50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3, 2024</w:t>
      </w:r>
    </w:p>
    <w:p>
      <w:pPr>
        <w:spacing w:after="0" w:line="333" w:lineRule="exact"/>
        <w:rPr>
          <w:rFonts w:ascii="Times New Roman" w:cs="Times New Roman" w:eastAsia="Times New Roman" w:hAnsi="Times New Roman"/>
          <w:sz w:val="18"/>
          <w:szCs w:val="18"/>
          <w:color w:val="auto"/>
        </w:rPr>
      </w:pPr>
    </w:p>
    <w:p>
      <w:pPr>
        <w:ind w:left="900" w:right="60" w:hanging="50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offer is contingent upon our Board of Directors approval and satisfactory completion of a criminal background check, employment authorization and verification and confirmation that you are not subject to any restrictions arising out of your prior employment which would be breached or violated by your accepting a position with Lands’ End.</w:t>
      </w:r>
    </w:p>
    <w:p>
      <w:pPr>
        <w:spacing w:after="0" w:line="283" w:lineRule="exact"/>
        <w:rPr>
          <w:rFonts w:ascii="Times New Roman" w:cs="Times New Roman" w:eastAsia="Times New Roman" w:hAnsi="Times New Roman"/>
          <w:sz w:val="18"/>
          <w:szCs w:val="18"/>
          <w:color w:val="auto"/>
        </w:rPr>
      </w:pPr>
    </w:p>
    <w:p>
      <w:pPr>
        <w:ind w:left="900" w:right="540" w:hanging="50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work location will be in our Dodgeville, WI office. All requested business travel and lodging will be at company expense subject to Lands’ End’s applicable Travel &amp; Entertainment Employee Expense Policy.</w:t>
      </w:r>
    </w:p>
    <w:p>
      <w:pPr>
        <w:spacing w:after="0" w:line="269" w:lineRule="exact"/>
        <w:rPr>
          <w:rFonts w:ascii="Times New Roman" w:cs="Times New Roman" w:eastAsia="Times New Roman" w:hAnsi="Times New Roman"/>
          <w:sz w:val="18"/>
          <w:szCs w:val="18"/>
          <w:color w:val="auto"/>
        </w:rPr>
      </w:pPr>
    </w:p>
    <w:p>
      <w:pPr>
        <w:ind w:left="900" w:right="280" w:hanging="50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base salary of $525,000 (less applicable withholdings and deductions) paid in bi-weekly payments in accordance with the Company’s normal payroll practice. Any increases will be determined based on a number of factors, with performance typically being the most significant factor. You will be eligible for merit increase consideration in the 2025 merit cycle.</w:t>
      </w:r>
    </w:p>
    <w:p>
      <w:pPr>
        <w:spacing w:after="0" w:line="67" w:lineRule="exact"/>
        <w:rPr>
          <w:rFonts w:ascii="Times New Roman" w:cs="Times New Roman" w:eastAsia="Times New Roman" w:hAnsi="Times New Roman"/>
          <w:sz w:val="18"/>
          <w:szCs w:val="18"/>
          <w:color w:val="auto"/>
        </w:rPr>
      </w:pPr>
    </w:p>
    <w:p>
      <w:pPr>
        <w:ind w:left="900" w:right="60" w:hanging="503"/>
        <w:spacing w:after="0" w:line="258"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for an annual target bonus incentive opportunity of up to 75 % of your eligible earnings, starting with the company’s 2024 fiscal year. The portion of the bonus target paid each year is based on your performance and the company’s fiscal results and is payable at Lands’ End’s discretion. Your incentive opportunity is subject to the terms and conditions of the Company’s Annual Incentive Plan. Any 2024 Annual Incentive will take into consideration your eligible earnings for the fiscal year time period of February 3, 2024, to January 31, 2025. You must be an active employee at the time of the payout to receive the bonus.</w:t>
      </w:r>
    </w:p>
    <w:p>
      <w:pPr>
        <w:spacing w:after="0" w:line="75" w:lineRule="exact"/>
        <w:rPr>
          <w:rFonts w:ascii="Times New Roman" w:cs="Times New Roman" w:eastAsia="Times New Roman" w:hAnsi="Times New Roman"/>
          <w:sz w:val="18"/>
          <w:szCs w:val="18"/>
          <w:color w:val="auto"/>
        </w:rPr>
      </w:pPr>
    </w:p>
    <w:p>
      <w:pPr>
        <w:ind w:left="900" w:right="220" w:hanging="50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Lands' End Retirement Plan, which includes a 401(k) contribution feature and Company Match. Eligibility will start on your hire date. Lands’ End will begin matching contributions at 50% on the first 6% of eligible earnings, beginning with the first of the month after completing a year of service.</w:t>
      </w:r>
    </w:p>
    <w:p>
      <w:pPr>
        <w:spacing w:after="0" w:line="67" w:lineRule="exact"/>
        <w:rPr>
          <w:rFonts w:ascii="Times New Roman" w:cs="Times New Roman" w:eastAsia="Times New Roman" w:hAnsi="Times New Roman"/>
          <w:sz w:val="18"/>
          <w:szCs w:val="18"/>
          <w:color w:val="auto"/>
        </w:rPr>
      </w:pPr>
    </w:p>
    <w:p>
      <w:pPr>
        <w:ind w:left="900" w:right="260" w:hanging="50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your previous related experience, you will receive 20 business days of vacation as of your start date, with an additional 5 business days after ten years of service.</w:t>
      </w:r>
    </w:p>
    <w:p>
      <w:pPr>
        <w:spacing w:after="0" w:line="53" w:lineRule="exact"/>
        <w:rPr>
          <w:rFonts w:ascii="Times New Roman" w:cs="Times New Roman" w:eastAsia="Times New Roman" w:hAnsi="Times New Roman"/>
          <w:sz w:val="18"/>
          <w:szCs w:val="18"/>
          <w:color w:val="auto"/>
        </w:rPr>
      </w:pPr>
    </w:p>
    <w:p>
      <w:pPr>
        <w:ind w:left="900" w:right="300" w:hanging="50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member of the Lands’ End senior team, beginning with our 2024 fiscal year, it is our intent to offer a target long-term incentive opportunity of 110% of your annual base salary for future annual long-term incentive awards. Further details regarding future LTI awards will be provided following approval by the Compensation Committee.</w:t>
      </w:r>
    </w:p>
    <w:p>
      <w:pPr>
        <w:spacing w:after="0" w:line="67" w:lineRule="exact"/>
        <w:rPr>
          <w:rFonts w:ascii="Times New Roman" w:cs="Times New Roman" w:eastAsia="Times New Roman" w:hAnsi="Times New Roman"/>
          <w:sz w:val="18"/>
          <w:szCs w:val="18"/>
          <w:color w:val="auto"/>
        </w:rPr>
      </w:pPr>
    </w:p>
    <w:p>
      <w:pPr>
        <w:ind w:left="900" w:hanging="50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employment, you will be required to sign an Executive Severance Agreement (ESA). While the terms and conditions of the</w:t>
      </w:r>
    </w:p>
    <w:p>
      <w:pPr>
        <w:spacing w:after="0" w:line="27" w:lineRule="exact"/>
        <w:rPr>
          <w:sz w:val="20"/>
          <w:szCs w:val="20"/>
          <w:color w:val="auto"/>
        </w:rPr>
      </w:pPr>
    </w:p>
    <w:p>
      <w:pPr>
        <w:ind w:left="900" w:right="40"/>
        <w:spacing w:after="0" w:line="252" w:lineRule="auto"/>
        <w:rPr>
          <w:sz w:val="20"/>
          <w:szCs w:val="20"/>
          <w:color w:val="auto"/>
        </w:rPr>
      </w:pPr>
      <w:r>
        <w:rPr>
          <w:rFonts w:ascii="Times New Roman" w:cs="Times New Roman" w:eastAsia="Times New Roman" w:hAnsi="Times New Roman"/>
          <w:sz w:val="18"/>
          <w:szCs w:val="18"/>
          <w:color w:val="auto"/>
        </w:rPr>
        <w:t>ESA will govern, here is a summary of some of the items covered by the ESA: If your employment with Lands’ End is terminated by LE (other than for Cause, death or Disability) or by you for Good Reason (as defined in the ESA), you will receive twelve (12) months of salary continuation, equal to your base salary at the time of termination, reduced by any interim earnings you may otherwise receive. Under the ESA, you agree, among other things, not to disclose confidential information and, for eighteen (18) months following termination of employment, not to solicit our employees. You also agree not to aid, assist, or render services for any ‘Lands’ End Competitor’ (as defined in the ESA) for twelve (12) months following termination of employment, to the extent allowed by applicable laws. The non-disclosure, non-solicitation and non-compete provisions apply regardless of whether you are eligible for severance benefits under the ESA.</w:t>
      </w:r>
    </w:p>
    <w:p>
      <w:pPr>
        <w:spacing w:after="0" w:line="80" w:lineRule="exact"/>
        <w:rPr>
          <w:sz w:val="20"/>
          <w:szCs w:val="20"/>
          <w:color w:val="auto"/>
        </w:rPr>
      </w:pPr>
    </w:p>
    <w:p>
      <w:pPr>
        <w:ind w:left="900" w:hanging="50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aspects of this offer are subject to approval by the Compensation Committee of the Lands’ End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758825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5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If you have any questions, please let me know.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Kelly Ritchie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Kelly Ritchie Chief HR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tabs>
          <w:tab w:leader="none" w:pos="4060" w:val="left"/>
        </w:tabs>
        <w:rPr>
          <w:sz w:val="20"/>
          <w:szCs w:val="20"/>
          <w:color w:val="auto"/>
        </w:rPr>
      </w:pPr>
      <w:r>
        <w:rPr>
          <w:rFonts w:ascii="Times New Roman" w:cs="Times New Roman" w:eastAsia="Times New Roman" w:hAnsi="Times New Roman"/>
          <w:sz w:val="18"/>
          <w:szCs w:val="18"/>
          <w:color w:val="auto"/>
        </w:rPr>
        <w:t>/s/Martin Christopher</w:t>
      </w:r>
      <w:r>
        <w:rPr>
          <w:sz w:val="20"/>
          <w:szCs w:val="20"/>
          <w:color w:val="auto"/>
        </w:rPr>
        <w:tab/>
      </w:r>
      <w:r>
        <w:rPr>
          <w:rFonts w:ascii="Times New Roman" w:cs="Times New Roman" w:eastAsia="Times New Roman" w:hAnsi="Times New Roman"/>
          <w:sz w:val="18"/>
          <w:szCs w:val="18"/>
          <w:color w:val="auto"/>
        </w:rPr>
        <w:t>Date: Jan 30,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610235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012"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10.20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EXECUTIVE SEVERANCE AGREEMENT</w:t>
      </w:r>
    </w:p>
    <w:p>
      <w:pPr>
        <w:spacing w:after="0" w:line="212" w:lineRule="exact"/>
        <w:rPr>
          <w:sz w:val="20"/>
          <w:szCs w:val="20"/>
          <w:color w:val="auto"/>
        </w:rPr>
      </w:pPr>
    </w:p>
    <w:p>
      <w:pPr>
        <w:ind w:right="200" w:firstLine="1497"/>
        <w:spacing w:after="0" w:line="237" w:lineRule="auto"/>
        <w:rPr>
          <w:sz w:val="20"/>
          <w:szCs w:val="20"/>
          <w:color w:val="auto"/>
        </w:rPr>
      </w:pPr>
      <w:r>
        <w:rPr>
          <w:rFonts w:ascii="Times New Roman" w:cs="Times New Roman" w:eastAsia="Times New Roman" w:hAnsi="Times New Roman"/>
          <w:sz w:val="18"/>
          <w:szCs w:val="18"/>
          <w:color w:val="auto"/>
        </w:rPr>
        <w:t>This Amended and Restated Executive Severance Agreement (“Agreement”) is made as of the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day of March, 2025, by and between Lands’ End, Inc., a Delaware corporation (together with its successors, assigns and Affiliates, the “Company”) and </w:t>
      </w:r>
      <w:r>
        <w:rPr>
          <w:rFonts w:ascii="Times New Roman" w:cs="Times New Roman" w:eastAsia="Times New Roman" w:hAnsi="Times New Roman"/>
          <w:sz w:val="18"/>
          <w:szCs w:val="18"/>
          <w:b w:val="1"/>
          <w:bCs w:val="1"/>
          <w:color w:val="auto"/>
        </w:rPr>
        <w:t>Martin Christopher</w:t>
      </w:r>
      <w:r>
        <w:rPr>
          <w:rFonts w:ascii="Times New Roman" w:cs="Times New Roman" w:eastAsia="Times New Roman" w:hAnsi="Times New Roman"/>
          <w:sz w:val="18"/>
          <w:szCs w:val="18"/>
          <w:color w:val="auto"/>
        </w:rPr>
        <w:t xml:space="preserve"> (“Executive”), and amends and restates in its entirety the Executive Severance Agreement by and between the Company and the Executive dated January 30, 2024.</w:t>
      </w:r>
    </w:p>
    <w:p>
      <w:pPr>
        <w:spacing w:after="0" w:line="201" w:lineRule="exact"/>
        <w:rPr>
          <w:sz w:val="20"/>
          <w:szCs w:val="20"/>
          <w:color w:val="auto"/>
        </w:rPr>
      </w:pPr>
    </w:p>
    <w:p>
      <w:pPr>
        <w:ind w:right="240" w:firstLine="1497"/>
        <w:spacing w:after="0" w:line="266" w:lineRule="auto"/>
        <w:rPr>
          <w:sz w:val="20"/>
          <w:szCs w:val="20"/>
          <w:color w:val="auto"/>
        </w:rPr>
      </w:pPr>
      <w:r>
        <w:rPr>
          <w:rFonts w:ascii="Times New Roman" w:cs="Times New Roman" w:eastAsia="Times New Roman" w:hAnsi="Times New Roman"/>
          <w:sz w:val="18"/>
          <w:szCs w:val="18"/>
          <w:color w:val="auto"/>
        </w:rPr>
        <w:t>WHEREAS, in light of the Company’s size and its visibility as a publicly-traded company that reports its results to the public, the Company has attracted attention of other companies and businesses seeking to obtain for themselves or their customers some of the Company’s business acumen and know-how; and</w:t>
      </w:r>
    </w:p>
    <w:p>
      <w:pPr>
        <w:spacing w:after="0" w:line="176" w:lineRule="exact"/>
        <w:rPr>
          <w:sz w:val="20"/>
          <w:szCs w:val="20"/>
          <w:color w:val="auto"/>
        </w:rPr>
      </w:pPr>
    </w:p>
    <w:p>
      <w:pPr>
        <w:ind w:right="640" w:firstLine="1497"/>
        <w:spacing w:after="0" w:line="282" w:lineRule="auto"/>
        <w:rPr>
          <w:sz w:val="20"/>
          <w:szCs w:val="20"/>
          <w:color w:val="auto"/>
        </w:rPr>
      </w:pPr>
      <w:r>
        <w:rPr>
          <w:rFonts w:ascii="Times New Roman" w:cs="Times New Roman" w:eastAsia="Times New Roman" w:hAnsi="Times New Roman"/>
          <w:sz w:val="18"/>
          <w:szCs w:val="18"/>
          <w:color w:val="auto"/>
        </w:rPr>
        <w:t>WHEREAS, the Company has shared with Executive certain aspects of its business acumen and know-how as well as specific confidential and proprietary information about the products, markets, processes, costs, developments, ideas, and personnel of the Company; and</w:t>
      </w:r>
    </w:p>
    <w:p>
      <w:pPr>
        <w:spacing w:after="0" w:line="162" w:lineRule="exact"/>
        <w:rPr>
          <w:sz w:val="20"/>
          <w:szCs w:val="20"/>
          <w:color w:val="auto"/>
        </w:rPr>
      </w:pPr>
    </w:p>
    <w:p>
      <w:pPr>
        <w:ind w:right="600" w:firstLine="1497"/>
        <w:spacing w:after="0" w:line="282" w:lineRule="auto"/>
        <w:rPr>
          <w:sz w:val="20"/>
          <w:szCs w:val="20"/>
          <w:color w:val="auto"/>
        </w:rPr>
      </w:pPr>
      <w:r>
        <w:rPr>
          <w:rFonts w:ascii="Times New Roman" w:cs="Times New Roman" w:eastAsia="Times New Roman" w:hAnsi="Times New Roman"/>
          <w:sz w:val="18"/>
          <w:szCs w:val="18"/>
          <w:color w:val="auto"/>
        </w:rPr>
        <w:t>WHEREAS, the Company has imbued Executive with certain aspects of the goodwill that the Company has developed with its customers, vendors, representatives and employees; and</w:t>
      </w:r>
    </w:p>
    <w:p>
      <w:pPr>
        <w:spacing w:after="0" w:line="162" w:lineRule="exact"/>
        <w:rPr>
          <w:sz w:val="20"/>
          <w:szCs w:val="20"/>
          <w:color w:val="auto"/>
        </w:rPr>
      </w:pPr>
    </w:p>
    <w:p>
      <w:pPr>
        <w:ind w:right="420" w:firstLine="1497"/>
        <w:spacing w:after="0" w:line="282" w:lineRule="auto"/>
        <w:rPr>
          <w:sz w:val="20"/>
          <w:szCs w:val="20"/>
          <w:color w:val="auto"/>
        </w:rPr>
      </w:pPr>
      <w:r>
        <w:rPr>
          <w:rFonts w:ascii="Times New Roman" w:cs="Times New Roman" w:eastAsia="Times New Roman" w:hAnsi="Times New Roman"/>
          <w:sz w:val="18"/>
          <w:szCs w:val="18"/>
          <w:color w:val="auto"/>
        </w:rPr>
        <w:t>WHEREAS, as consideration for entering into this Agreement, the Company is extending to Executive the opportunity to receive severance benefits under certain circumstances as provided in this Agreement; and</w:t>
      </w:r>
    </w:p>
    <w:p>
      <w:pPr>
        <w:spacing w:after="0" w:line="162" w:lineRule="exact"/>
        <w:rPr>
          <w:sz w:val="20"/>
          <w:szCs w:val="20"/>
          <w:color w:val="auto"/>
        </w:rPr>
      </w:pPr>
    </w:p>
    <w:p>
      <w:pPr>
        <w:ind w:right="80" w:firstLine="1497"/>
        <w:spacing w:after="0" w:line="282" w:lineRule="auto"/>
        <w:rPr>
          <w:sz w:val="20"/>
          <w:szCs w:val="20"/>
          <w:color w:val="auto"/>
        </w:rPr>
      </w:pPr>
      <w:r>
        <w:rPr>
          <w:rFonts w:ascii="Times New Roman" w:cs="Times New Roman" w:eastAsia="Times New Roman" w:hAnsi="Times New Roman"/>
          <w:sz w:val="18"/>
          <w:szCs w:val="18"/>
          <w:color w:val="auto"/>
        </w:rPr>
        <w:t>WHEREAS, as additional consideration for entering into this Agreement, the Company has granted to Executive restricted stock units pursuant to a Restricted Stock Agreement entered into between the Company and the Executive.</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NOW, THEREFORE, in consideration of the foregoing, and of the respective covenants and agreements of the parties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parties hereto agree as follows:</w:t>
      </w:r>
    </w:p>
    <w:p>
      <w:pPr>
        <w:spacing w:after="0" w:line="20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117" w:lineRule="exact"/>
        <w:rPr>
          <w:rFonts w:ascii="Times New Roman" w:cs="Times New Roman" w:eastAsia="Times New Roman" w:hAnsi="Times New Roman"/>
          <w:sz w:val="18"/>
          <w:szCs w:val="18"/>
          <w:color w:val="auto"/>
        </w:rPr>
      </w:pPr>
    </w:p>
    <w:p>
      <w:pPr>
        <w:ind w:left="1540" w:right="40" w:hanging="514"/>
        <w:spacing w:after="0" w:line="255"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subsidiary or other entity that, directly or indirectly through one or more intermediaries, is controlled by Lands’ End, Inc., whether now existing or hereafter formed or acquired. For purposes hereof, “control” means the power to vote or direct the voting of sufficient securities or other interests to elect one-third of the directors or managers or to control the management of such subsidiary or other entity. Notwithstanding the foregoing, if the Executive’s “Salary Continuation” exceeds the “Section 409A Threshold” (as such terms are defined below), then Affiliate shall mean any person with whom the Company is considered to be a single employer under Code Section 414(b) and all persons with whom the Company would be considered a single employer under Code Section 414(c), substituting “50%” for the “80%” standard that would otherwise apply.</w:t>
      </w:r>
    </w:p>
    <w:p>
      <w:pPr>
        <w:spacing w:after="0" w:line="80" w:lineRule="exact"/>
        <w:rPr>
          <w:rFonts w:ascii="Times New Roman" w:cs="Times New Roman" w:eastAsia="Times New Roman" w:hAnsi="Times New Roman"/>
          <w:sz w:val="18"/>
          <w:szCs w:val="18"/>
          <w:color w:val="auto"/>
        </w:rPr>
      </w:pPr>
    </w:p>
    <w:p>
      <w:pPr>
        <w:ind w:left="1540" w:right="20" w:hanging="514"/>
        <w:spacing w:after="0" w:line="258"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(i) a material breach by Executive (other than a breach resulting from Executive’s incapacity due to a Disability) of Executive’s duties and responsibilities which breach is demonstrably willful and deliberate on Executive’s part, is committed in bad faith or without reasonable belief that such breach is in the best interests of the Company and is not remedied in a reasonable period of time after receipt of written notice from the Company specifying such breach; (ii) the commission by Executive of a felony; or (iii) dishonesty or willful misconduct in connection with Executive’s employment.</w:t>
      </w:r>
    </w:p>
    <w:p>
      <w:pPr>
        <w:spacing w:after="0" w:line="75" w:lineRule="exact"/>
        <w:rPr>
          <w:rFonts w:ascii="Times New Roman" w:cs="Times New Roman" w:eastAsia="Times New Roman" w:hAnsi="Times New Roman"/>
          <w:sz w:val="18"/>
          <w:szCs w:val="18"/>
          <w:color w:val="auto"/>
        </w:rPr>
      </w:pPr>
    </w:p>
    <w:p>
      <w:pPr>
        <w:ind w:left="1540" w:right="600" w:hanging="514"/>
        <w:spacing w:after="0" w:line="261"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Business” means any corporation, partnership, association, or other person or entity (including but not limited to Executive) that is listed on Appendix A, each of which Executive acknowledges is a Competitive Business.</w:t>
      </w:r>
    </w:p>
    <w:p>
      <w:pPr>
        <w:ind w:left="1500" w:right="3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Company shall have the right to propose modifications to Appendix A periodically to include (i) emergent Competitive Businesses in the existing lines of business of the Company, and (ii) Competitive Businesses in lines of business that are new for the Company, in each case, with the prior written consent of Executive, which consent shall not be unreasonably withheld.</w:t>
      </w:r>
    </w:p>
    <w:p>
      <w:pPr>
        <w:spacing w:after="0" w:line="188"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17" w:lineRule="exact"/>
        <w:rPr>
          <w:rFonts w:ascii="Times New Roman" w:cs="Times New Roman" w:eastAsia="Times New Roman" w:hAnsi="Times New Roman"/>
          <w:sz w:val="18"/>
          <w:szCs w:val="18"/>
          <w:color w:val="auto"/>
        </w:rPr>
      </w:pPr>
    </w:p>
    <w:p>
      <w:pPr>
        <w:ind w:left="1540" w:right="40" w:hanging="514"/>
        <w:spacing w:after="0" w:line="258"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means information related to the Company’s business, not generally known in the trade or industry, which Executive learns or creates during the period of Executive’s Company Employment, which may include but is not limited to product specifications, manufacturing procedures, methods, equipment, compositions, technology, formulas, know-how, research and development programs, sales methods, customer lists, customer usages and requirements, personnel evaluations and compensation data, computer programs and other confidential technical or business information and data that is not otherwise in the public domain.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99" w:name="page100"/>
    <w:bookmarkEnd w:id="99"/>
    <w:p>
      <w:pPr>
        <w:ind w:left="1023" w:right="720" w:hanging="514"/>
        <w:spacing w:after="0" w:line="282"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disability as defined under the Company’s long-term disability plan (regardless of whether Executive is a participant under such plan).</w:t>
      </w:r>
    </w:p>
    <w:p>
      <w:pPr>
        <w:spacing w:after="0" w:line="53" w:lineRule="exact"/>
        <w:rPr>
          <w:rFonts w:ascii="Times New Roman" w:cs="Times New Roman" w:eastAsia="Times New Roman" w:hAnsi="Times New Roman"/>
          <w:sz w:val="18"/>
          <w:szCs w:val="18"/>
          <w:color w:val="auto"/>
        </w:rPr>
      </w:pPr>
    </w:p>
    <w:p>
      <w:pPr>
        <w:ind w:left="1023" w:right="40" w:hanging="514"/>
        <w:spacing w:after="0" w:line="282"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Company Employment” means the time (including time prior to the date hereof) during which Executive is employed by any entity comprised within the definition of “Company”, regardless of any change in the entity actually employing Executive.</w:t>
      </w:r>
    </w:p>
    <w:p>
      <w:pPr>
        <w:spacing w:after="0" w:line="53" w:lineRule="exact"/>
        <w:rPr>
          <w:rFonts w:ascii="Times New Roman" w:cs="Times New Roman" w:eastAsia="Times New Roman" w:hAnsi="Times New Roman"/>
          <w:sz w:val="18"/>
          <w:szCs w:val="18"/>
          <w:color w:val="auto"/>
        </w:rPr>
      </w:pPr>
    </w:p>
    <w:p>
      <w:pPr>
        <w:ind w:left="1023" w:right="60" w:hanging="514"/>
        <w:spacing w:after="0" w:line="254" w:lineRule="auto"/>
        <w:tabs>
          <w:tab w:leader="none" w:pos="106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without Executive’s written consent, (i) a reduction of more than ten percent (10%) in the sum of Executive’s annual base salary and target bonus under Company’s Annual Incentive Plan; (ii) Executive’s mandatory relocation to an office more than fifty (50) miles from the primary location at which Executive was previously required to perform Executive’s duties; or (iii) any other action or inaction that constitutes a material breach of the terms of this Agreement, including failure of a successor company to assume or fulfill the obligations under this Agreement. In each case, Executive must provide Company with written notice of the facts giving rise to a claim that “Good Reason” exists for purposes of this Agreement, within thirty (30) days of the initial existence of such Good Reason event, and Company shall have the right to remedy such event within sixty (60) days after receipt of Executive’s written notice. “Good Reason” shall cease to exist, and may not form the basis for claiming any compensation or benefits under this Agreement, if any of the following occurs:</w:t>
      </w:r>
    </w:p>
    <w:p>
      <w:pPr>
        <w:spacing w:after="0" w:line="80" w:lineRule="exact"/>
        <w:rPr>
          <w:rFonts w:ascii="Times New Roman" w:cs="Times New Roman" w:eastAsia="Times New Roman" w:hAnsi="Times New Roman"/>
          <w:sz w:val="18"/>
          <w:szCs w:val="18"/>
          <w:color w:val="auto"/>
        </w:rPr>
      </w:pPr>
    </w:p>
    <w:p>
      <w:pPr>
        <w:ind w:left="1523" w:right="760" w:hanging="505"/>
        <w:spacing w:after="0" w:line="282" w:lineRule="auto"/>
        <w:tabs>
          <w:tab w:leader="none" w:pos="15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fails to provide the above-referenced written notice of the Good Reason event within thirty (30) days of its occurrence;</w:t>
      </w:r>
    </w:p>
    <w:p>
      <w:pPr>
        <w:spacing w:after="0" w:line="53" w:lineRule="exact"/>
        <w:rPr>
          <w:rFonts w:ascii="Times New Roman" w:cs="Times New Roman" w:eastAsia="Times New Roman" w:hAnsi="Times New Roman"/>
          <w:sz w:val="18"/>
          <w:szCs w:val="18"/>
          <w:color w:val="auto"/>
        </w:rPr>
      </w:pPr>
    </w:p>
    <w:p>
      <w:pPr>
        <w:ind w:left="1523" w:hanging="505"/>
        <w:spacing w:after="0"/>
        <w:tabs>
          <w:tab w:leader="none" w:pos="15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remedies the Good Reason event within the above-referenced sixty (60) day remediation period; or</w:t>
      </w:r>
    </w:p>
    <w:p>
      <w:pPr>
        <w:spacing w:after="0" w:line="117" w:lineRule="exact"/>
        <w:rPr>
          <w:rFonts w:ascii="Times New Roman" w:cs="Times New Roman" w:eastAsia="Times New Roman" w:hAnsi="Times New Roman"/>
          <w:sz w:val="18"/>
          <w:szCs w:val="18"/>
          <w:color w:val="auto"/>
        </w:rPr>
      </w:pPr>
    </w:p>
    <w:p>
      <w:pPr>
        <w:ind w:left="1523" w:hanging="505"/>
        <w:spacing w:after="0"/>
        <w:tabs>
          <w:tab w:leader="none" w:pos="152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fails to resign within ninety (90) days of Executive’s written notice of the Good Reason event.</w:t>
      </w:r>
    </w:p>
    <w:p>
      <w:pPr>
        <w:spacing w:after="0" w:line="117" w:lineRule="exact"/>
        <w:rPr>
          <w:rFonts w:ascii="Times New Roman" w:cs="Times New Roman" w:eastAsia="Times New Roman" w:hAnsi="Times New Roman"/>
          <w:sz w:val="18"/>
          <w:szCs w:val="18"/>
          <w:color w:val="auto"/>
        </w:rPr>
      </w:pPr>
    </w:p>
    <w:p>
      <w:pPr>
        <w:ind w:left="1023" w:right="420" w:hanging="514"/>
        <w:spacing w:after="0" w:line="266"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Continuation” means continuation of base salary, based on Executive’s annual base salary rate as of the date Executive’s Company Employment terminates (“Date of Termination”), payable for a period of twelve (12) months following the Date of Termination (“Salary Continuation Period”).</w:t>
      </w:r>
    </w:p>
    <w:p>
      <w:pPr>
        <w:spacing w:after="0" w:line="67" w:lineRule="exact"/>
        <w:rPr>
          <w:rFonts w:ascii="Times New Roman" w:cs="Times New Roman" w:eastAsia="Times New Roman" w:hAnsi="Times New Roman"/>
          <w:sz w:val="18"/>
          <w:szCs w:val="18"/>
          <w:color w:val="auto"/>
        </w:rPr>
      </w:pPr>
    </w:p>
    <w:p>
      <w:pPr>
        <w:ind w:left="1023" w:right="60" w:hanging="514"/>
        <w:spacing w:after="0" w:line="258"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Threshold” means an amount equal to two times the lesser of (i) Executive’s base salary for services provided to the Company as an employee for the calendar year preceding the calendar year in which Executive has a Separation from Service; or (ii) the maximum amount that may be taken into account under a qualified plan in accordance with Code Section 401(a)(17) for the calendar year in which the Executive has a Separation from Service. In all events, this amount shall be limited to the amount specified under Treasury Regulation Section 1.409A-1(b)(9)(iii)(A) or any successor thereto.</w:t>
      </w:r>
    </w:p>
    <w:p>
      <w:pPr>
        <w:spacing w:after="0" w:line="75" w:lineRule="exact"/>
        <w:rPr>
          <w:rFonts w:ascii="Times New Roman" w:cs="Times New Roman" w:eastAsia="Times New Roman" w:hAnsi="Times New Roman"/>
          <w:sz w:val="18"/>
          <w:szCs w:val="18"/>
          <w:color w:val="auto"/>
        </w:rPr>
      </w:pPr>
    </w:p>
    <w:p>
      <w:pPr>
        <w:ind w:left="1023" w:hanging="514"/>
        <w:spacing w:after="0" w:line="256"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means a “separation from service” with the Company within the meaning of Code Section 409A (and regulations issued thereunder). Notwithstanding anything herein to the contrary, the fact that Executive is treated as having incurred a Separation from Service under Code Section 409A and the terms of this Agreement shall not be determinative, or in any way affect the analysis, of whether Executive has retired, terminated employment, separated from service, incurred a severance from employment or become entitled to a distribution, under the terms of any retirement plan (including pension plans and 401(k) savings plans) maintained by the Company.</w:t>
      </w:r>
    </w:p>
    <w:p>
      <w:pPr>
        <w:spacing w:after="0" w:line="79" w:lineRule="exact"/>
        <w:rPr>
          <w:rFonts w:ascii="Times New Roman" w:cs="Times New Roman" w:eastAsia="Times New Roman" w:hAnsi="Times New Roman"/>
          <w:sz w:val="18"/>
          <w:szCs w:val="18"/>
          <w:color w:val="auto"/>
        </w:rPr>
      </w:pPr>
    </w:p>
    <w:p>
      <w:pPr>
        <w:ind w:left="1023" w:hanging="514"/>
        <w:spacing w:after="0"/>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Employee” means a “specified employee” under Code Section 409A (and regulations issued thereunder).</w:t>
      </w:r>
    </w:p>
    <w:p>
      <w:pPr>
        <w:spacing w:after="0" w:line="117" w:lineRule="exact"/>
        <w:rPr>
          <w:rFonts w:ascii="Times New Roman" w:cs="Times New Roman" w:eastAsia="Times New Roman" w:hAnsi="Times New Roman"/>
          <w:sz w:val="18"/>
          <w:szCs w:val="18"/>
          <w:color w:val="auto"/>
        </w:rPr>
      </w:pPr>
    </w:p>
    <w:p>
      <w:pPr>
        <w:ind w:left="1023" w:right="40" w:hanging="514"/>
        <w:spacing w:after="0" w:line="261" w:lineRule="auto"/>
        <w:tabs>
          <w:tab w:leader="none" w:pos="102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means information, including a formula, pattern, compilation, program, device, method, technique or process, that derives independent economic value, actual or potential, from not being generally known to, and not being readily ascertainable by proper means by, other persons who can obtain economic value from its disclosure or use, and that is the subject of efforts to maintain its secrecy that are reasonable under the circumstances.</w:t>
      </w:r>
    </w:p>
    <w:p>
      <w:pPr>
        <w:spacing w:after="0" w:line="71" w:lineRule="exact"/>
        <w:rPr>
          <w:rFonts w:ascii="Times New Roman" w:cs="Times New Roman" w:eastAsia="Times New Roman" w:hAnsi="Times New Roman"/>
          <w:sz w:val="18"/>
          <w:szCs w:val="18"/>
          <w:color w:val="auto"/>
        </w:rPr>
      </w:pPr>
    </w:p>
    <w:p>
      <w:pPr>
        <w:ind w:left="503" w:right="100" w:hanging="503"/>
        <w:spacing w:after="0" w:line="256"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During Executive’s Company Employment, Executive agrees to devote all of Executive’s professional time and attention to the duties required by such Company Employment and to the best interests of the Company, and to engage in other business, professional or philanthropic activities only with the prior written approval of the Company. Executive shall also comply with all generally applicable policies of the Company, including but not limited to the Company’s Code of Conduct, as such policies may be amended from time to time. Except as may be otherwise expressly provided in any written agreement between the Company and Executive other than this Agreement, Executive’s Company Employment is terminable by either party at will.</w:t>
      </w:r>
    </w:p>
    <w:p>
      <w:pPr>
        <w:spacing w:after="0" w:line="79"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3" w:right="160" w:hanging="514"/>
        <w:spacing w:after="0" w:line="282" w:lineRule="auto"/>
        <w:tabs>
          <w:tab w:leader="none" w:pos="102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Company Employment is involuntarily terminated without Cause, or if Executive resigns for Good Reason, subject to Section 8 of this Agreement, Executive shall be entitled to the following:</w:t>
      </w:r>
    </w:p>
    <w:p>
      <w:pPr>
        <w:spacing w:after="0" w:line="53" w:lineRule="exact"/>
        <w:rPr>
          <w:rFonts w:ascii="Times New Roman" w:cs="Times New Roman" w:eastAsia="Times New Roman" w:hAnsi="Times New Roman"/>
          <w:sz w:val="18"/>
          <w:szCs w:val="18"/>
          <w:color w:val="auto"/>
        </w:rPr>
      </w:pPr>
    </w:p>
    <w:p>
      <w:pPr>
        <w:ind w:left="1523" w:hanging="505"/>
        <w:spacing w:after="0"/>
        <w:tabs>
          <w:tab w:leader="none" w:pos="152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Continuation.</w:t>
      </w:r>
    </w:p>
    <w:p>
      <w:pPr>
        <w:spacing w:after="0" w:line="117" w:lineRule="exact"/>
        <w:rPr>
          <w:rFonts w:ascii="Times New Roman" w:cs="Times New Roman" w:eastAsia="Times New Roman" w:hAnsi="Times New Roman"/>
          <w:sz w:val="18"/>
          <w:szCs w:val="18"/>
          <w:color w:val="auto"/>
        </w:rPr>
      </w:pPr>
    </w:p>
    <w:p>
      <w:pPr>
        <w:ind w:left="1523" w:right="60" w:hanging="505"/>
        <w:spacing w:after="0" w:line="282" w:lineRule="auto"/>
        <w:tabs>
          <w:tab w:leader="none" w:pos="152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you are a participant in the Company’s group health insurance plan and Dental plan on the date of the Separation From Service, following the end of the month after the Separation From Service,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00" w:name="page101"/>
    <w:bookmarkEnd w:id="100"/>
    <w:p>
      <w:pPr>
        <w:ind w:left="1523"/>
        <w:spacing w:after="0" w:line="252" w:lineRule="auto"/>
        <w:rPr>
          <w:sz w:val="20"/>
          <w:szCs w:val="20"/>
          <w:color w:val="auto"/>
        </w:rPr>
      </w:pPr>
      <w:r>
        <w:rPr>
          <w:rFonts w:ascii="Times New Roman" w:cs="Times New Roman" w:eastAsia="Times New Roman" w:hAnsi="Times New Roman"/>
          <w:sz w:val="18"/>
          <w:szCs w:val="18"/>
          <w:color w:val="auto"/>
        </w:rPr>
        <w:t>Company will provide you with the right to participate in such plan in accordance with the mandates of the Consolidated Omnibus Budget Reconciliation Act of 1985, as amended (“COBRA”). During the Severance Period, Lands’ End will pay will pay the amount of premium equivalent to the Employer share of premium that was paid prior to the Termination Date with the remainder paid by the Executive. At the end of the Severance Period, Executive is responsible for payment of the full premium. Any insurance coverage provided under this ¶ 3(a) shall be subject to such amendments (including termination) of the insurance coverage as Lands’ End shall make from time to time at its sole discretion, including but not limited to changes in covered expenses, premiums and co-payment obligations. If Executive becomes eligible to participate in another medical or dental benefit plan or arrangement through another employer or spousal plan during such period, the Company shall no longer pay for the employer share of the COBRA premium and Executive shall be required to pay the full COBRA premium. Executive is required to notify the Company within thirty (30) days of obtaining other medical or dental benefits coverage. Any coverage provided under this Section 3(a)(ii) shall be subject to such amendments (including termination) of the coverage as the Company shall make from time to time at its sole discretion, including but not limited to changes in covered expenses, employee contributions for premiums, and co-payment obligations, and shall be, to the fullest extent permitted by law, secondary to any other coverage Executive may obtain from subsequent employment or any other source.</w:t>
      </w:r>
    </w:p>
    <w:p>
      <w:pPr>
        <w:spacing w:after="0" w:line="89" w:lineRule="exact"/>
        <w:rPr>
          <w:sz w:val="20"/>
          <w:szCs w:val="20"/>
          <w:color w:val="auto"/>
        </w:rPr>
      </w:pPr>
    </w:p>
    <w:p>
      <w:pPr>
        <w:ind w:left="1523" w:right="120" w:hanging="505"/>
        <w:spacing w:after="0" w:line="266" w:lineRule="auto"/>
        <w:tabs>
          <w:tab w:leader="none" w:pos="15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outplacement services, mutually agreed upon by the Company and Executive from those vendors used by Company as of the Date of Termination, for a period of up to twelve (12) months or until subsequent employment is obtained, whichever occurs first.</w:t>
      </w:r>
    </w:p>
    <w:p>
      <w:pPr>
        <w:spacing w:after="0" w:line="67" w:lineRule="exact"/>
        <w:rPr>
          <w:rFonts w:ascii="Times New Roman" w:cs="Times New Roman" w:eastAsia="Times New Roman" w:hAnsi="Times New Roman"/>
          <w:sz w:val="18"/>
          <w:szCs w:val="18"/>
          <w:color w:val="auto"/>
        </w:rPr>
      </w:pPr>
    </w:p>
    <w:p>
      <w:pPr>
        <w:ind w:left="1523" w:right="80" w:hanging="505"/>
        <w:spacing w:after="0" w:line="255" w:lineRule="auto"/>
        <w:tabs>
          <w:tab w:leader="none" w:pos="15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on the payment of benefits upon termination of employment that may be provided for under its vacation pay policy, Company shall provide Executive a lump sum payment, promptly after the expiration of the revocation period set forth in Appendix B, of the unused vacation pay benefits which Executive had been granted prior to the Date of Termination to the maximum extent permitted pursuant to Section 409A of the Code.</w:t>
      </w:r>
    </w:p>
    <w:p>
      <w:pPr>
        <w:spacing w:after="0" w:line="3" w:lineRule="exact"/>
        <w:rPr>
          <w:sz w:val="20"/>
          <w:szCs w:val="20"/>
          <w:color w:val="auto"/>
        </w:rPr>
      </w:pPr>
    </w:p>
    <w:p>
      <w:pPr>
        <w:ind w:left="983" w:right="60"/>
        <w:spacing w:after="0" w:line="252" w:lineRule="auto"/>
        <w:rPr>
          <w:sz w:val="20"/>
          <w:szCs w:val="20"/>
          <w:color w:val="auto"/>
        </w:rPr>
      </w:pPr>
      <w:r>
        <w:rPr>
          <w:rFonts w:ascii="Times New Roman" w:cs="Times New Roman" w:eastAsia="Times New Roman" w:hAnsi="Times New Roman"/>
          <w:sz w:val="18"/>
          <w:szCs w:val="18"/>
          <w:color w:val="auto"/>
        </w:rPr>
        <w:t>Executive shall not be entitled to continuation of compensation or benefits if Executive’s employment terminates for any other reason, including due to death or Disability, except as may be provided under any other agreement or benefit plan applicable to Executive at the time of the termination of Executive’s employment. Executive shall also not be entitled to Salary Continuation or any of the other benefits above if Executive does not meet all of the other requirements under, or otherwise violates the terms of, this Agreement, including the requirements under Section 8. Except as provided in this Section 3, all other compensation and benefits shall terminate as of the Date of Termination.</w:t>
      </w:r>
    </w:p>
    <w:p>
      <w:pPr>
        <w:spacing w:after="0" w:line="190" w:lineRule="exact"/>
        <w:rPr>
          <w:sz w:val="20"/>
          <w:szCs w:val="20"/>
          <w:color w:val="auto"/>
        </w:rPr>
      </w:pPr>
    </w:p>
    <w:p>
      <w:pPr>
        <w:ind w:left="1023" w:right="40" w:hanging="514"/>
        <w:spacing w:after="0" w:line="261" w:lineRule="auto"/>
        <w:tabs>
          <w:tab w:leader="none" w:pos="102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(c), following the signing of the Release and Waiver in Accordance with Section 8 and expiration of the revocation period, Company shall pay Executive Salary Continuation in substantially equal installments on each regular salary payroll date for the Salary Continuation Period, except as otherwise provided in this Agreement. Salary Continuation payments shall be subject to withholdings for federal and state income taxes, FICA, Medicare and other legally required or authorized deductions.</w:t>
      </w:r>
    </w:p>
    <w:p>
      <w:pPr>
        <w:spacing w:after="0" w:line="71" w:lineRule="exact"/>
        <w:rPr>
          <w:rFonts w:ascii="Times New Roman" w:cs="Times New Roman" w:eastAsia="Times New Roman" w:hAnsi="Times New Roman"/>
          <w:sz w:val="18"/>
          <w:szCs w:val="18"/>
          <w:color w:val="auto"/>
        </w:rPr>
      </w:pPr>
    </w:p>
    <w:p>
      <w:pPr>
        <w:ind w:left="1023" w:hanging="514"/>
        <w:spacing w:after="0" w:line="255" w:lineRule="auto"/>
        <w:tabs>
          <w:tab w:leader="none" w:pos="102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3 to the contrary, if the Salary Continuation payable to Executive during the six (6) months after Executive’s Separation from Service would exceed the Section 409A Threshold and if, as of the date of the Separation from Service, Executive is a Specified Employee, then payment shall be made to Executive on each regular salary payroll date during the six (6) months of the Salary Continuation Period until the aggregate amount received equals the Section 409A Threshold. Any portion of the Salary Continuation in excess of the Section 409A Threshold that would otherwise be paid during such six (6) months, and any portion of the Salary Continuation that is otherwise subject to Section 409A, shall instead be paid to Executive in a lump sum payment on the date that is six (6) months and one (1) day after the date of Executive’s Separation from Service.</w:t>
      </w:r>
    </w:p>
    <w:p>
      <w:pPr>
        <w:spacing w:after="0" w:line="80" w:lineRule="exact"/>
        <w:rPr>
          <w:rFonts w:ascii="Times New Roman" w:cs="Times New Roman" w:eastAsia="Times New Roman" w:hAnsi="Times New Roman"/>
          <w:sz w:val="18"/>
          <w:szCs w:val="18"/>
          <w:color w:val="auto"/>
        </w:rPr>
      </w:pPr>
    </w:p>
    <w:p>
      <w:pPr>
        <w:ind w:left="503" w:right="160" w:hanging="503"/>
        <w:spacing w:after="0" w:line="258"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In addition to all duties of loyalty imposed on Executive by law or otherwise, during the term of Executive’s Company Employment and for two years following the termination of such employment for any reason, Executive shall maintain Confidential Information in confidence and secrecy and shall not disclose Confidential Information or use it for the benefit of any person or organization (including Executive) other than the Company without the prior written consent of an authorized officer of the Company (except for disclosures to persons acting on the Company’s behalf with a need to know such information).</w:t>
      </w:r>
    </w:p>
    <w:p>
      <w:pPr>
        <w:spacing w:after="0" w:line="75" w:lineRule="exact"/>
        <w:rPr>
          <w:rFonts w:ascii="Times New Roman" w:cs="Times New Roman" w:eastAsia="Times New Roman" w:hAnsi="Times New Roman"/>
          <w:sz w:val="18"/>
          <w:szCs w:val="18"/>
          <w:color w:val="auto"/>
        </w:rPr>
      </w:pPr>
    </w:p>
    <w:p>
      <w:pPr>
        <w:jc w:val="both"/>
        <w:ind w:left="503" w:right="400" w:hanging="503"/>
        <w:spacing w:after="0" w:line="266"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Trade Secrets</w:t>
      </w:r>
      <w:r>
        <w:rPr>
          <w:rFonts w:ascii="Times New Roman" w:cs="Times New Roman" w:eastAsia="Times New Roman" w:hAnsi="Times New Roman"/>
          <w:sz w:val="18"/>
          <w:szCs w:val="18"/>
          <w:color w:val="auto"/>
        </w:rPr>
        <w:t>. During Executive’s Company Employment, Executive shall preserve and protect Trade Secrets of the Company from unauthorized use or disclosure; and after termination of such employment, Executive shall not use or disclose any Trade Secret of the Company for so long as that Trade Secret remains a Trade Secret.</w:t>
      </w:r>
    </w:p>
    <w:p>
      <w:pPr>
        <w:spacing w:after="0" w:line="67"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Confidentiality</w:t>
      </w:r>
      <w:r>
        <w:rPr>
          <w:rFonts w:ascii="Times New Roman" w:cs="Times New Roman" w:eastAsia="Times New Roman" w:hAnsi="Times New Roman"/>
          <w:sz w:val="18"/>
          <w:szCs w:val="18"/>
          <w:color w:val="auto"/>
        </w:rPr>
        <w:t>. Executive shall not disclose to the Company, use on its behalf, or otherwise induce the Company to use any secret or confidential information belonging to persons or entities not affiliated with the Company, which may include a former employer of Executive, if Executive then has an obligation or duty to 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453390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01" w:name="page102"/>
    <w:bookmarkEnd w:id="101"/>
    <w:p>
      <w:pPr>
        <w:ind w:left="503" w:right="20"/>
        <w:spacing w:after="0" w:line="261" w:lineRule="auto"/>
        <w:rPr>
          <w:sz w:val="20"/>
          <w:szCs w:val="20"/>
          <w:color w:val="auto"/>
        </w:rPr>
      </w:pPr>
      <w:r>
        <w:rPr>
          <w:rFonts w:ascii="Times New Roman" w:cs="Times New Roman" w:eastAsia="Times New Roman" w:hAnsi="Times New Roman"/>
          <w:sz w:val="18"/>
          <w:szCs w:val="18"/>
          <w:color w:val="auto"/>
        </w:rPr>
        <w:t>(other than the Company) to not disclose such information to other persons or entities, including the Company. Executive acknowledges that the Company has disclosed that the Company is now, and may be in the future, subject to duties to third parties to maintain information in confidence and secrecy. By executing this Agreement, Executive consents to be bound by any such duty owed by the Company to any third party.</w:t>
      </w:r>
    </w:p>
    <w:p>
      <w:pPr>
        <w:spacing w:after="0" w:line="72" w:lineRule="exact"/>
        <w:rPr>
          <w:sz w:val="20"/>
          <w:szCs w:val="20"/>
          <w:color w:val="auto"/>
        </w:rPr>
      </w:pPr>
    </w:p>
    <w:p>
      <w:pPr>
        <w:ind w:left="503" w:right="100" w:hanging="503"/>
        <w:spacing w:after="0" w:line="254"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Executive acknowledges that all ideas, inventions, innovations, improvements, developments, methods, designs, analyses, reports, databases, and any other similar or related information (whether patentable or not) which relate to the actual or anticipated business, research and development, or existing or known future products or services of the Company which are or were conceived, developed or created by Executive (alone or jointly with others) during Executive’s Company Employment (the "Work Product") is and shall remain the exclusive property of the Company. Executive acknowledges and agrees that all copyrightable Work Product was created in Executive’s capacity as an employee of Lands’ End and within the scope of Executive’s Company Employment, and thus constitutes a "work made for hire" under the Copyright Act of 1976, as amended. Executive hereby assigns to Company all right, title and interest in and to all Work Product, and agrees to perform all actions reasonably requested by Company to establish, confirm or protect Company’s ownership thereof (including, without limitation,­ executing assignments, powers of attorney and other instruments).</w:t>
      </w:r>
    </w:p>
    <w:p>
      <w:pPr>
        <w:spacing w:after="0" w:line="80" w:lineRule="exact"/>
        <w:rPr>
          <w:rFonts w:ascii="Times New Roman" w:cs="Times New Roman" w:eastAsia="Times New Roman" w:hAnsi="Times New Roman"/>
          <w:sz w:val="18"/>
          <w:szCs w:val="18"/>
          <w:color w:val="auto"/>
        </w:rPr>
      </w:pPr>
    </w:p>
    <w:p>
      <w:pPr>
        <w:ind w:left="503" w:right="60" w:hanging="503"/>
        <w:spacing w:after="0" w:line="258"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Release and Waiver</w:t>
      </w:r>
      <w:r>
        <w:rPr>
          <w:rFonts w:ascii="Times New Roman" w:cs="Times New Roman" w:eastAsia="Times New Roman" w:hAnsi="Times New Roman"/>
          <w:sz w:val="18"/>
          <w:szCs w:val="18"/>
          <w:color w:val="auto"/>
        </w:rPr>
        <w:t>. Upon or following Executive’s Date of Termination potentially entitling Executive to Salary Continuation and other benefits under Section 3 above, Executive will execute a binding general release and waiver of claims in a form to be provided by the Company (“General Release and Waiver”). The General Release and Waiver will be in a form substantially similar to the attached Appendix B. If the General Release and Waiver is not signed within the time it requires or is signed but subsequently revoked, Executive will not continue to receive any Salary Continuation otherwise payable, and shall reimburse any Salary Continuation previously paid.</w:t>
      </w:r>
    </w:p>
    <w:p>
      <w:pPr>
        <w:spacing w:after="0" w:line="75" w:lineRule="exact"/>
        <w:rPr>
          <w:rFonts w:ascii="Times New Roman" w:cs="Times New Roman" w:eastAsia="Times New Roman" w:hAnsi="Times New Roman"/>
          <w:sz w:val="18"/>
          <w:szCs w:val="18"/>
          <w:color w:val="auto"/>
        </w:rPr>
      </w:pPr>
    </w:p>
    <w:p>
      <w:pPr>
        <w:ind w:left="503" w:right="100" w:hanging="503"/>
        <w:spacing w:after="0" w:line="261"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During Executive’s Company Employment, and for a period of twelve (12) months after the Date of Termination, regardless whether the Executive is receiving Salary Continuation or other benefits under Section 3), to the extent allowed by state and federal law. Executive shall not, directly or indirectly, participate in, consult with, be employed by, or assist with the organization, planning, ownership, financing, management, operation or control of any Competitive Business.</w:t>
      </w:r>
    </w:p>
    <w:p>
      <w:pPr>
        <w:spacing w:after="0" w:line="71"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Executive’s Company Employment and for eighteen (18) months following the termination of such employment for any reason, Executive shall not, directly or indirectly, either by himself or by providing substantial assistance to others (i) solicit any employee of the Company to terminate employment with the Company, or (ii) employ or seek to employ, or cause or assist any other person, company, entity or business to employ or seek to employ, any individual who was an employee of Company as of Executive’s Date of Termination.</w:t>
      </w:r>
    </w:p>
    <w:p>
      <w:pPr>
        <w:spacing w:after="0" w:line="75" w:lineRule="exact"/>
        <w:rPr>
          <w:rFonts w:ascii="Times New Roman" w:cs="Times New Roman" w:eastAsia="Times New Roman" w:hAnsi="Times New Roman"/>
          <w:sz w:val="18"/>
          <w:szCs w:val="18"/>
          <w:color w:val="auto"/>
        </w:rPr>
      </w:pPr>
    </w:p>
    <w:p>
      <w:pPr>
        <w:ind w:left="503" w:right="20" w:hanging="503"/>
        <w:spacing w:after="0" w:line="254"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Employment</w:t>
      </w:r>
      <w:r>
        <w:rPr>
          <w:rFonts w:ascii="Times New Roman" w:cs="Times New Roman" w:eastAsia="Times New Roman" w:hAnsi="Times New Roman"/>
          <w:sz w:val="18"/>
          <w:szCs w:val="18"/>
          <w:color w:val="auto"/>
        </w:rPr>
        <w:t>. During Executive’s Company Employment and for eighteen (18) months following the termination of such employment for any reason, before accepting any employment with any Competitive Business (whether or not Executive believes such employment is prohibited by Section 8), Executive shall disclose to the Company the identity of any such Competitive Business and a complete description of the duties involved in such prospective employment, including a full description of any business, territory or market segment to which Executive will be assigned. Further, during Executive’s Company Employment and for eighteen (18) months following the termination of such employment for any reason, Executive agrees that, before accepting any future employment, Executive will provide a copy of this Agreement to any prospective employer of Executive, and Executive hereby authorizes the Company to do likewise, whether before or after the outset of the future employment.</w:t>
      </w:r>
    </w:p>
    <w:p>
      <w:pPr>
        <w:spacing w:after="0" w:line="83" w:lineRule="exact"/>
        <w:rPr>
          <w:rFonts w:ascii="Times New Roman" w:cs="Times New Roman" w:eastAsia="Times New Roman" w:hAnsi="Times New Roman"/>
          <w:sz w:val="18"/>
          <w:szCs w:val="18"/>
          <w:color w:val="auto"/>
        </w:rPr>
      </w:pPr>
    </w:p>
    <w:p>
      <w:pPr>
        <w:ind w:left="503" w:right="60" w:hanging="503"/>
        <w:spacing w:after="0" w:line="255"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 Cooperation</w:t>
      </w:r>
      <w:r>
        <w:rPr>
          <w:rFonts w:ascii="Times New Roman" w:cs="Times New Roman" w:eastAsia="Times New Roman" w:hAnsi="Times New Roman"/>
          <w:sz w:val="18"/>
          <w:szCs w:val="18"/>
          <w:color w:val="auto"/>
        </w:rPr>
        <w:t>. During Executive’s Company Employment and for two (2) years following the termination of such employment for any reason, Executive (i) will not criticize or disparage the Company or its directors, officers, employees or products to any employee, customer or competitor of the Company, and (ii) will fully cooperate with Company in all investigations, potential litigation or litigation in which Company is involved or may become involved with respect to matters that relate to Executive’s Company Employment (other than any such investigations, potential litigation or litigation between Company and Executive); provided, that with regard to Executive’s duties under clause (ii), Executive shall be reimbursed for reasonable travel and out-of-pocket expenses related thereto, but shall otherwise not be entitled to any additional compensation.</w:t>
      </w:r>
    </w:p>
    <w:p>
      <w:pPr>
        <w:spacing w:after="0" w:line="80" w:lineRule="exact"/>
        <w:rPr>
          <w:rFonts w:ascii="Times New Roman" w:cs="Times New Roman" w:eastAsia="Times New Roman" w:hAnsi="Times New Roman"/>
          <w:sz w:val="18"/>
          <w:szCs w:val="18"/>
          <w:color w:val="auto"/>
        </w:rPr>
      </w:pPr>
    </w:p>
    <w:p>
      <w:pPr>
        <w:jc w:val="both"/>
        <w:ind w:left="503" w:right="40" w:hanging="503"/>
        <w:spacing w:after="0" w:line="266" w:lineRule="auto"/>
        <w:tabs>
          <w:tab w:leader="none" w:pos="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 demands and other communications required or permitted hereunder shall be in writing and shall be deemed to have been duly given when delivered by hand or when mailed by United States certified or registered mail with postage prepaid addressed as follows:</w:t>
      </w:r>
    </w:p>
    <w:p>
      <w:pPr>
        <w:spacing w:after="0" w:line="68" w:lineRule="exact"/>
        <w:rPr>
          <w:sz w:val="20"/>
          <w:szCs w:val="20"/>
          <w:color w:val="auto"/>
        </w:rPr>
      </w:pPr>
    </w:p>
    <w:p>
      <w:pPr>
        <w:ind w:left="1023" w:right="20" w:hanging="514"/>
        <w:spacing w:after="0" w:line="282" w:lineRule="auto"/>
        <w:tabs>
          <w:tab w:leader="none" w:pos="10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Executive, to the address set forth by Executive on the signature page of this Agreement or to such other person or address which Executive shall furnish to the Company in writing pursuant to the above.</w:t>
      </w:r>
    </w:p>
    <w:p>
      <w:pPr>
        <w:spacing w:after="0" w:line="53" w:lineRule="exact"/>
        <w:rPr>
          <w:rFonts w:ascii="Times New Roman" w:cs="Times New Roman" w:eastAsia="Times New Roman" w:hAnsi="Times New Roman"/>
          <w:sz w:val="18"/>
          <w:szCs w:val="18"/>
          <w:color w:val="auto"/>
        </w:rPr>
      </w:pPr>
    </w:p>
    <w:p>
      <w:pPr>
        <w:ind w:left="1023" w:right="40" w:hanging="514"/>
        <w:spacing w:after="0" w:line="282" w:lineRule="auto"/>
        <w:tabs>
          <w:tab w:leader="none" w:pos="10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attention of the Company’s General Counsel at the address set forth on the signature page of this Agreement or to such other person or address as the Company shall furnish to Executive in writing pursuant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02" w:name="page103"/>
    <w:bookmarkEnd w:id="102"/>
    <w:p>
      <w:pPr>
        <w:ind w:left="503" w:right="160" w:hanging="503"/>
        <w:spacing w:after="0" w:line="261"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Executive recognizes that irreparable injury may result to the Company, its business and property, and the potential value thereof in the event of a sale or other transfer, if Executive breaches any of the restrictions imposed on Executive by this Agreement, and Executive agrees that if Executive shall engage in any act in violation of such provisions, then the Company shall be entitled, in addition to such other remedies and damages as may be available, to an injunction prohibiting Executive from engaging in any such act.</w:t>
      </w:r>
    </w:p>
    <w:p>
      <w:pPr>
        <w:spacing w:after="0" w:line="71" w:lineRule="exact"/>
        <w:rPr>
          <w:rFonts w:ascii="Times New Roman" w:cs="Times New Roman" w:eastAsia="Times New Roman" w:hAnsi="Times New Roman"/>
          <w:sz w:val="18"/>
          <w:szCs w:val="18"/>
          <w:color w:val="auto"/>
        </w:rPr>
      </w:pPr>
    </w:p>
    <w:p>
      <w:pPr>
        <w:ind w:left="503" w:right="600" w:hanging="503"/>
        <w:spacing w:after="0" w:line="266"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and enforceable by Lands’ End, Inc., its successors, assigns and Affiliates, all of which (other than Lands’ End, Inc.) are intended third-party beneficiaries of this Agreement. Executive hereby consents to the assignment of this Agreement to any person or entity.</w:t>
      </w:r>
    </w:p>
    <w:p>
      <w:pPr>
        <w:spacing w:after="0" w:line="67" w:lineRule="exact"/>
        <w:rPr>
          <w:rFonts w:ascii="Times New Roman" w:cs="Times New Roman" w:eastAsia="Times New Roman" w:hAnsi="Times New Roman"/>
          <w:sz w:val="18"/>
          <w:szCs w:val="18"/>
          <w:color w:val="auto"/>
        </w:rPr>
      </w:pPr>
    </w:p>
    <w:p>
      <w:pPr>
        <w:jc w:val="both"/>
        <w:ind w:left="503" w:right="40" w:hanging="503"/>
        <w:spacing w:after="0" w:line="266"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Any invalidity or unenforceability of any provision of this Agreement is not intended to affect the validity or enforceability of any other provision of this Agreement, which the parties intend to be severable and divisible, and to remain in full force and effect to the greatest extent permissible under applicable law.</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Except to the extent superseded or preempted by federal U.S. law, the rights and obligations of the parties and the terms of this Agreement shall be governed by and construed in accordance with the domestic laws of the State of Wisconsin, but without regard to the State of Wisconsin's conflict of laws rules. The parties further agree that the state and federal courts in Madison, Wisconsin, shall have exclusive jurisdiction over any claim which is any way arises out of Executive’s employment with the Company, including but not limited to any claim seeking to enforce the provisions of this Agreement.</w:t>
      </w:r>
    </w:p>
    <w:p>
      <w:pPr>
        <w:spacing w:after="0" w:line="75" w:lineRule="exact"/>
        <w:rPr>
          <w:rFonts w:ascii="Times New Roman" w:cs="Times New Roman" w:eastAsia="Times New Roman" w:hAnsi="Times New Roman"/>
          <w:sz w:val="18"/>
          <w:szCs w:val="18"/>
          <w:color w:val="auto"/>
        </w:rPr>
      </w:pPr>
    </w:p>
    <w:p>
      <w:pPr>
        <w:ind w:left="503" w:right="100" w:hanging="503"/>
        <w:spacing w:after="0" w:line="266"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 To the extent that a payment or benefit under this Agreement is subject to Code Section 409A, it is intended that this Agreement as applied to that payment or benefit comply with the requirements of Code Section 409A, and the Agreement shall be administered and interpreted consistent with this intent.</w:t>
      </w:r>
    </w:p>
    <w:p>
      <w:pPr>
        <w:spacing w:after="0" w:line="67" w:lineRule="exact"/>
        <w:rPr>
          <w:rFonts w:ascii="Times New Roman" w:cs="Times New Roman" w:eastAsia="Times New Roman" w:hAnsi="Times New Roman"/>
          <w:sz w:val="18"/>
          <w:szCs w:val="18"/>
          <w:color w:val="auto"/>
        </w:rPr>
      </w:pPr>
    </w:p>
    <w:p>
      <w:pPr>
        <w:ind w:left="503" w:right="20" w:hanging="503"/>
        <w:spacing w:after="0" w:line="258" w:lineRule="auto"/>
        <w:tabs>
          <w:tab w:leader="none" w:pos="50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This Agreement may be modified only by a written agreement signed by Executive and a duly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-2023110</wp:posOffset>
            </wp:positionV>
            <wp:extent cx="285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3"/>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63"/>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ind w:left="4363"/>
        <w:spacing w:after="0"/>
        <w:rPr>
          <w:sz w:val="20"/>
          <w:szCs w:val="20"/>
          <w:color w:val="auto"/>
        </w:rPr>
      </w:pPr>
      <w:r>
        <w:rPr>
          <w:rFonts w:ascii="Times New Roman" w:cs="Times New Roman" w:eastAsia="Times New Roman" w:hAnsi="Times New Roman"/>
          <w:sz w:val="18"/>
          <w:szCs w:val="18"/>
          <w:u w:val="single" w:color="auto"/>
          <w:color w:val="auto"/>
        </w:rPr>
        <w:t>/s/ Martin Christopher</w:t>
      </w: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Name: Martin Christopher</w:t>
      </w:r>
    </w:p>
    <w:p>
      <w:pPr>
        <w:spacing w:after="0" w:line="200" w:lineRule="exact"/>
        <w:rPr>
          <w:sz w:val="20"/>
          <w:szCs w:val="20"/>
          <w:color w:val="auto"/>
        </w:rPr>
      </w:pPr>
    </w:p>
    <w:p>
      <w:pPr>
        <w:spacing w:after="0" w:line="223" w:lineRule="exact"/>
        <w:rPr>
          <w:sz w:val="20"/>
          <w:szCs w:val="20"/>
          <w:color w:val="auto"/>
        </w:rPr>
      </w:pPr>
    </w:p>
    <w:p>
      <w:pPr>
        <w:ind w:left="4363"/>
        <w:spacing w:after="0"/>
        <w:rPr>
          <w:sz w:val="20"/>
          <w:szCs w:val="20"/>
          <w:color w:val="auto"/>
        </w:rPr>
      </w:pPr>
      <w:r>
        <w:rPr>
          <w:rFonts w:ascii="Times New Roman" w:cs="Times New Roman" w:eastAsia="Times New Roman" w:hAnsi="Times New Roman"/>
          <w:sz w:val="18"/>
          <w:szCs w:val="18"/>
          <w:color w:val="auto"/>
        </w:rPr>
        <w:t>LANDS’ END, INC.</w:t>
      </w:r>
    </w:p>
    <w:p>
      <w:pPr>
        <w:spacing w:after="0" w:line="27" w:lineRule="exact"/>
        <w:rPr>
          <w:sz w:val="20"/>
          <w:szCs w:val="20"/>
          <w:color w:val="auto"/>
        </w:rPr>
      </w:pPr>
    </w:p>
    <w:p>
      <w:pPr>
        <w:ind w:left="4363"/>
        <w:spacing w:after="0"/>
        <w:rPr>
          <w:sz w:val="20"/>
          <w:szCs w:val="20"/>
          <w:color w:val="auto"/>
        </w:rPr>
      </w:pPr>
      <w:r>
        <w:rPr>
          <w:rFonts w:ascii="Times New Roman" w:cs="Times New Roman" w:eastAsia="Times New Roman" w:hAnsi="Times New Roman"/>
          <w:sz w:val="18"/>
          <w:szCs w:val="18"/>
          <w:color w:val="auto"/>
        </w:rPr>
        <w:t>5 Lands’ End Lane</w:t>
      </w:r>
    </w:p>
    <w:p>
      <w:pPr>
        <w:spacing w:after="0" w:line="9" w:lineRule="exact"/>
        <w:rPr>
          <w:sz w:val="20"/>
          <w:szCs w:val="20"/>
          <w:color w:val="auto"/>
        </w:rPr>
      </w:pPr>
    </w:p>
    <w:p>
      <w:pPr>
        <w:ind w:left="4403"/>
        <w:spacing w:after="0"/>
        <w:rPr>
          <w:sz w:val="20"/>
          <w:szCs w:val="20"/>
          <w:color w:val="auto"/>
        </w:rPr>
      </w:pPr>
      <w:r>
        <w:rPr>
          <w:rFonts w:ascii="Times New Roman" w:cs="Times New Roman" w:eastAsia="Times New Roman" w:hAnsi="Times New Roman"/>
          <w:sz w:val="18"/>
          <w:szCs w:val="18"/>
          <w:color w:val="auto"/>
        </w:rPr>
        <w:t>Dodgeville, WI 53595</w:t>
      </w:r>
    </w:p>
    <w:p>
      <w:pPr>
        <w:spacing w:after="0" w:line="200" w:lineRule="exact"/>
        <w:rPr>
          <w:sz w:val="20"/>
          <w:szCs w:val="20"/>
          <w:color w:val="auto"/>
        </w:rPr>
      </w:pPr>
    </w:p>
    <w:p>
      <w:pPr>
        <w:spacing w:after="0" w:line="223" w:lineRule="exact"/>
        <w:rPr>
          <w:sz w:val="20"/>
          <w:szCs w:val="20"/>
          <w:color w:val="auto"/>
        </w:rPr>
      </w:pPr>
    </w:p>
    <w:p>
      <w:pPr>
        <w:ind w:left="4363"/>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Kelly Ritchie</w:t>
      </w: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Its: Chief HR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895985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120" w:right="379" w:bottom="1440" w:gutter="0" w:footer="0" w:header="0"/>
        </w:sectPr>
      </w:pPr>
    </w:p>
    <w:bookmarkStart w:id="103" w:name="page104"/>
    <w:bookmarkEnd w:id="103"/>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BUSINESSES</w:t>
      </w:r>
    </w:p>
    <w:p>
      <w:pPr>
        <w:spacing w:after="0" w:line="229" w:lineRule="exact"/>
        <w:rPr>
          <w:sz w:val="20"/>
          <w:szCs w:val="20"/>
          <w:color w:val="auto"/>
        </w:rPr>
      </w:pPr>
    </w:p>
    <w:p>
      <w:pPr>
        <w:ind w:right="120" w:firstLine="1497"/>
        <w:spacing w:after="0" w:line="257" w:lineRule="auto"/>
        <w:rPr>
          <w:sz w:val="20"/>
          <w:szCs w:val="20"/>
          <w:color w:val="auto"/>
        </w:rPr>
      </w:pPr>
      <w:r>
        <w:rPr>
          <w:rFonts w:ascii="Times New Roman" w:cs="Times New Roman" w:eastAsia="Times New Roman" w:hAnsi="Times New Roman"/>
          <w:sz w:val="18"/>
          <w:szCs w:val="18"/>
          <w:color w:val="auto"/>
        </w:rPr>
        <w:t>The following companies (including affiliates and subsidiaries within the same controlled group of corporations) are included within the definition of “Competitive Businesses”, as referred to under subsection 1(c) of the Executive Severance Agreement (“Agreement”): Amazon.com (Expressly excluding Amazon Web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Bonobos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Brooks Brothers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Chico's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Eddie Bauer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 Penney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Crew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 A.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Kohl’s</w:t>
      </w:r>
    </w:p>
    <w:p>
      <w:pPr>
        <w:spacing w:after="0" w:line="9" w:lineRule="exact"/>
        <w:rPr>
          <w:sz w:val="20"/>
          <w:szCs w:val="20"/>
          <w:color w:val="auto"/>
        </w:rPr>
      </w:pPr>
    </w:p>
    <w:p>
      <w:pPr>
        <w:ind w:right="10340" w:firstLine="8"/>
        <w:spacing w:after="0" w:line="250" w:lineRule="auto"/>
        <w:tabs>
          <w:tab w:leader="none" w:pos="1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L.L. Bean Macy’s Next Retail</w:t>
      </w:r>
    </w:p>
    <w:p>
      <w:pPr>
        <w:spacing w:after="0" w:line="1" w:lineRule="exact"/>
        <w:rPr>
          <w:rFonts w:ascii="Times New Roman" w:cs="Times New Roman" w:eastAsia="Times New Roman" w:hAnsi="Times New Roman"/>
          <w:sz w:val="18"/>
          <w:szCs w:val="18"/>
          <w:color w:val="auto"/>
        </w:rPr>
      </w:pPr>
    </w:p>
    <w:p>
      <w:pPr>
        <w:ind w:right="98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Polo Ralph Lauren Talbots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w:t>
      </w:r>
    </w:p>
    <w:p>
      <w:pPr>
        <w:spacing w:after="0" w:line="9" w:lineRule="exact"/>
        <w:rPr>
          <w:rFonts w:ascii="Times New Roman" w:cs="Times New Roman" w:eastAsia="Times New Roman" w:hAnsi="Times New Roman"/>
          <w:sz w:val="18"/>
          <w:szCs w:val="18"/>
          <w:color w:val="auto"/>
        </w:rPr>
      </w:pPr>
    </w:p>
    <w:p>
      <w:pPr>
        <w:ind w:right="99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V.F. Corporation Vineyard Vines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00" w:lineRule="exact"/>
        <w:rPr>
          <w:sz w:val="20"/>
          <w:szCs w:val="20"/>
          <w:color w:val="auto"/>
        </w:rPr>
      </w:pPr>
    </w:p>
    <w:p>
      <w:pPr>
        <w:spacing w:after="0" w:line="241"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NOTICE: YOU MAY CONSIDER THIS GENERAL RELEASE AND WAIVER FOR UP TO TWENTY-ONE (21) DAYS. </w:t>
      </w:r>
      <w:r>
        <w:rPr>
          <w:rFonts w:ascii="Times New Roman" w:cs="Times New Roman" w:eastAsia="Times New Roman" w:hAnsi="Times New Roman"/>
          <w:sz w:val="18"/>
          <w:szCs w:val="18"/>
          <w:color w:val="auto"/>
        </w:rPr>
        <w:t>YOU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SIGN IT UNTIL ON OR AFTER YOUR LAST DAY OF WORK. </w:t>
      </w:r>
      <w:r>
        <w:rPr>
          <w:rFonts w:ascii="Times New Roman" w:cs="Times New Roman" w:eastAsia="Times New Roman" w:hAnsi="Times New Roman"/>
          <w:sz w:val="18"/>
          <w:szCs w:val="18"/>
          <w:b w:val="1"/>
          <w:bCs w:val="1"/>
          <w:color w:val="auto"/>
        </w:rPr>
        <w:t>IF YOU DECIDE TO SIGN IT, YOU MAY REVOKE THE GENERAL</w:t>
      </w:r>
    </w:p>
    <w:p>
      <w:pPr>
        <w:spacing w:after="0" w:line="1"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b w:val="1"/>
          <w:bCs w:val="1"/>
          <w:color w:val="auto"/>
        </w:rPr>
        <w:t>RELEASE AND WAIVER WITHIN SEVEN (7) DAYS AFTER SIGNING. ANY REVOCATION WITHIN THIS PERIOD MUST BE IMMEDIATELY SUBMITTED IN WRITING TO GENERAL COUNSEL, LANDS’ END, INC., 5 LANDS’ END LANE, DODGEVILLE, WISCONSIN 53595. YOU MAY WISH TO CONSULT WITH AN ATTORNEY BEFORE SIGNING THIS DOCUMENT.</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RELEASE AND WAIVER</w:t>
      </w:r>
    </w:p>
    <w:p>
      <w:pPr>
        <w:spacing w:after="0" w:line="33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of the severance benefits that are described in the attached Executive Severance Agreement, I, for myself, my heirs, administrators, representatives, executors, successors and assigns, do hereby release Lands’ End, Inc., its current and former agents, subsidiaries, affiliates, related organizations, employees, officers, directors, shareholders, attorneys, successors, and assigns (collectively, “Lands’ End”) from any and all claims of any kind whatsoever, whether known or unknown, arising out of, or connected with, my employment with Lands’ End and the termination of my employment. Without limiting the general application of the foregoing, this General Release &amp; Waiver releases, to the fullest extent permitted under law, all contract, tort, defamation, and personal injury claims; all claims based on any legal restriction upon Lands’ End’s right to terminate my employment at will; Title VII of the Civil Rights Act of 1964, 42 U.S.C. §§ 2000e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Age Discrimination in Employment Act, 29 U.S.C. §§ 621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Americans with Disabilities Act, 42 U.S.C. §§ 12101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Rehabilitation Act of 1973, 29 U.S.C. §§ 701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Employee Retirement Income Security Act of 1974, 29 U.S.C. §§ 1001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(“ERISA”); 29 U.S.C. § 1985; the Civil Rights Reconstruction Era Acts, 42 U.S.C. §§ 1981-1988; the National Labor Relations Act, 29 U.S.C. §§ 151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Family &amp; Medical Leave Act, 29 U.S.C. §§ 2601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Immigration &amp; Nationality Act, 8 U.S.C. §§ 1101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Executive Order 11246 and all regulations thereunder; the Wisconsin Fair Employment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xml:space="preserve">. §§ 111.31-111.395; the Wisconsin Family &amp; Medical Leave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04" w:name="page105"/>
    <w:bookmarkEnd w:id="104"/>
    <w:p>
      <w:pPr>
        <w:ind w:right="520"/>
        <w:spacing w:after="0" w:line="282" w:lineRule="auto"/>
        <w:rPr>
          <w:sz w:val="20"/>
          <w:szCs w:val="20"/>
          <w:color w:val="auto"/>
        </w:rPr>
      </w:pP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xml:space="preserve">. § 103.10; the Wisconsin Worker’s Compensation Act, </w:t>
      </w:r>
      <w:r>
        <w:rPr>
          <w:rFonts w:ascii="Times New Roman" w:cs="Times New Roman" w:eastAsia="Times New Roman" w:hAnsi="Times New Roman"/>
          <w:sz w:val="18"/>
          <w:szCs w:val="18"/>
          <w:u w:val="single" w:color="auto"/>
          <w:color w:val="auto"/>
        </w:rPr>
        <w:t>Wis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w:t>
      </w:r>
      <w:r>
        <w:rPr>
          <w:rFonts w:ascii="Times New Roman" w:cs="Times New Roman" w:eastAsia="Times New Roman" w:hAnsi="Times New Roman"/>
          <w:sz w:val="18"/>
          <w:szCs w:val="18"/>
          <w:color w:val="auto"/>
        </w:rPr>
        <w:t>. Ch. 102; and any and all other state, federal or local laws of any kind, whether administrative, regulatory, statutory or decisional.</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General Release &amp; Waiver does not apply to any claims that may arise after the date I sign this General Release &amp; Waiver. Also excluded from this General Release &amp; Waiver are any claims that cannot be waived by law, including but not limited to (1) my right to file a charge with or participate in an investigation conducted by the Equal Employment Opportunity Commission and (2) my rights or claims to benefits accrued under benefit plans maintained by Lands’ End and governed by ERISA. I do, however, waive any right to any monetary or other relief flowing from any agency or third-party claims or charges, including any charge I might file with any federal, state or local agency. I warrant and represent that I have not filed any complaint, charge, or lawsuit against Lands’ End with any governmental agency or with any court.</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 also waive any right to become, and promise not to consent to become a participant, member, or named representative of any class in any case in which claims are asserted against Lands’ End that are related in any way to my employment or termination of employment at Lands’ End, and that involve events that have occurred as of the date I sign this General Release and Waiver. If I, without my knowledge, am made a member of a class in any proceeding, I will opt out of the class at the first opportunity afforded to me after learning of my inclusion. In this regard, I agree that I will execute, without objection or delay, an “opt-out” form presented to me either by the court in which such proceeding is pending, by class counsel or by counsel for Lands’ End.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read this General Release and Waiver and understand all of its terms.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signed it voluntarily with full knowledge of its legal significance.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have had the opportunity to seek, and I have been advised in writing of my right to seek, legal counsel prior to signing this General Release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w:t>
      </w:r>
    </w:p>
    <w:p>
      <w:pPr>
        <w:spacing w:after="0" w:line="207"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I was given at least twenty-one (21) days to consider signing this General Release &amp; Waiver. I agree that any modification of this General Release &amp; Waiver Agreement will not restart the twenty-one (21) day consideration period.</w:t>
      </w:r>
    </w:p>
    <w:p>
      <w:pPr>
        <w:spacing w:after="0" w:line="16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 understand that if I sign the General Release &amp; Waiver, I can change my mind and revoke it within seven (7) days after signing it by notifying the General Counsel of Lands’ End in writing at Lands’ End, Inc., 5 Lands’ End Lane, Dodgeville, Wisconsin 53595. I understand the General Release &amp; Waiver will not be effective until after the seven (7) day revocation period has expired.</w:t>
      </w:r>
    </w:p>
    <w:p>
      <w:pPr>
        <w:spacing w:after="0" w:line="176"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I understand that the delivery of the consideration herein stated does not constitute an admission of liability by Lands’ End and that Lands’ End expressly denies any wrongdoing or liability.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u w:val="single" w:color="auto"/>
          <w:color w:val="auto"/>
        </w:rPr>
        <w:t>SAMPLE ONLY - DO NOT DATE</w:t>
      </w:r>
      <w:r>
        <w:rPr>
          <w:rFonts w:ascii="Times New Roman" w:cs="Times New Roman" w:eastAsia="Times New Roman" w:hAnsi="Times New Roman"/>
          <w:sz w:val="18"/>
          <w:szCs w:val="18"/>
          <w:color w:val="auto"/>
        </w:rPr>
        <w:t xml:space="preserve"> Signed by: </w:t>
      </w:r>
      <w:r>
        <w:rPr>
          <w:rFonts w:ascii="Times New Roman" w:cs="Times New Roman" w:eastAsia="Times New Roman" w:hAnsi="Times New Roman"/>
          <w:sz w:val="18"/>
          <w:szCs w:val="18"/>
          <w:b w:val="1"/>
          <w:bCs w:val="1"/>
          <w:u w:val="single" w:color="auto"/>
          <w:color w:val="auto"/>
        </w:rPr>
        <w:t>SAMPLE ONLY - DO NOT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Insider Trading Policy</w:t>
      </w:r>
    </w:p>
    <w:p>
      <w:pPr>
        <w:spacing w:after="0" w:line="34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u w:val="single" w:color="auto"/>
          <w:color w:val="auto"/>
        </w:rPr>
        <w:t>Purpose</w:t>
      </w:r>
    </w:p>
    <w:p>
      <w:pPr>
        <w:spacing w:after="0" w:line="27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color w:val="auto"/>
        </w:rPr>
        <w:t>”) provides you with guidelines with respect to transactions in the securities of Lands’ End, Inc.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 The Company has adopted this Policy to promote compliance with federal, state and foreign securities laws that prohibit persons who are aware of material nonpublic information about a company from: (i) trading in securities of that company; or (ii) providing material nonpublic information to other persons who may trade on the basis of that information. The Company may change the procedures or adopt new procedures as the Company considers appropriate in order to carry out the purposes of the Policy.</w:t>
      </w:r>
    </w:p>
    <w:p>
      <w:pPr>
        <w:spacing w:after="0" w:line="86"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u w:val="single" w:color="auto"/>
          <w:color w:val="auto"/>
        </w:rPr>
        <w:t>Persons Subject to this Policy; Family Members and Controlled Entities</w:t>
      </w:r>
    </w:p>
    <w:p>
      <w:pPr>
        <w:spacing w:after="0" w:line="26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This Policy applies to you if you are an officer of the Company, another employee of the Company or its subsidiaries or a member of the Company’s Board of Directors. The Company may also determine that other persons should be subject to this Policy, such as certain shareholders, contractors or consultants who have access to the Company’s material nonpublic information. If this Policy applies to you, then this Policy also applies to your family members residing with you, anyone else living in your household, and any family members not living with you whose transactions in the Company’s securities are directed by you, or subject to your influence and control, such as family members who consult with you before they trade in Company Securities (collectively, “Family Members”), as well as any entities you control, including any corporations, partnerships, or trusts (collectively, “Controlled Entities”). Transactions by Family Members and Controlled Entities should be treated for the purposes of this Policy as if they were for your own account. You are responsible for the transactions of Family Members and Controlled Entities, and therefore should make them aware of the terms of this Policy.</w:t>
      </w:r>
    </w:p>
    <w:p>
      <w:pPr>
        <w:spacing w:after="0" w:line="31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u w:val="single" w:color="auto"/>
          <w:color w:val="auto"/>
        </w:rPr>
        <w:t>Transactions Subject to this Policy</w:t>
      </w:r>
    </w:p>
    <w:p>
      <w:pPr>
        <w:spacing w:after="0" w:line="275" w:lineRule="exact"/>
        <w:rPr>
          <w:sz w:val="20"/>
          <w:szCs w:val="20"/>
          <w:color w:val="auto"/>
        </w:rPr>
      </w:pPr>
    </w:p>
    <w:p>
      <w:pPr>
        <w:ind w:right="180" w:firstLine="749"/>
        <w:spacing w:after="0" w:line="268"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u w:val="single" w:color="auto"/>
          <w:color w:val="auto"/>
        </w:rPr>
        <w:t>Company Securities</w:t>
      </w:r>
      <w:r>
        <w:rPr>
          <w:rFonts w:ascii="Times New Roman" w:cs="Times New Roman" w:eastAsia="Times New Roman" w:hAnsi="Times New Roman"/>
          <w:sz w:val="18"/>
          <w:szCs w:val="18"/>
          <w:color w:val="auto"/>
        </w:rPr>
        <w:t>”), including the Company’s common stock, options to purchase common stock, restricted stock or any other type of securities that the Company may issue, as well as derivative securities that are not issued by the Company, such as exchange- traded put or call options or swaps relating to the Company’s securities.</w:t>
      </w:r>
    </w:p>
    <w:p>
      <w:pPr>
        <w:spacing w:after="0" w:line="269"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18"/>
          <w:szCs w:val="18"/>
          <w:b w:val="1"/>
          <w:bCs w:val="1"/>
          <w:u w:val="single" w:color="auto"/>
          <w:color w:val="auto"/>
        </w:rPr>
        <w:t>Individual Responsibility</w:t>
      </w:r>
    </w:p>
    <w:p>
      <w:pPr>
        <w:spacing w:after="0" w:line="30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You have ethical and legal obligations to maintain the confidentiality of information about the Company and to not engage in transactions in Company Securities while in possession of material nonpublic information. You are responsible for making sure that you comply with this Policy and that your Family Members and Controlled Entities, also comply with this Policy. In all cases, the responsibility for determining whether you are in possession of material nonpublic information rests with you, and any action on the part of the Company, the Compliance Officer or any other employee or director pursuant to this Policy (or otherwise) does not in any way constitute legal advice or insulate you from liability under applicable securities laws. You could also be subject to severe legal penalties and disciplinary action by the Company for any conduct prohibited by this Policy or applicable securities laws, as described below in more detail under the heading “Consequences of Violations.”</w:t>
      </w:r>
    </w:p>
    <w:p>
      <w:pPr>
        <w:spacing w:after="0" w:line="89"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u w:val="single" w:color="auto"/>
          <w:color w:val="auto"/>
        </w:rPr>
        <w:t>Administration of this Policy</w:t>
      </w:r>
    </w:p>
    <w:p>
      <w:pPr>
        <w:spacing w:after="0" w:line="26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Company’s General Counsel will serve as the Compliance Officer for the purposes of this Policy, and in their absence, the Company’s Chief Financial Officer, or another employee designated by the Compliance Officer will be responsible for administration of this Policy. All determinations and interpretations by the Compliance Officer will be final and not subject to further review.</w:t>
      </w:r>
    </w:p>
    <w:p>
      <w:pPr>
        <w:spacing w:after="0" w:line="271"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18"/>
          <w:szCs w:val="18"/>
          <w:b w:val="1"/>
          <w:bCs w:val="1"/>
          <w:u w:val="single" w:color="auto"/>
          <w:color w:val="auto"/>
        </w:rPr>
        <w:t>Statement of Policy</w:t>
      </w:r>
    </w:p>
    <w:p>
      <w:pPr>
        <w:spacing w:after="0" w:line="300" w:lineRule="exact"/>
        <w:rPr>
          <w:sz w:val="20"/>
          <w:szCs w:val="20"/>
          <w:color w:val="auto"/>
        </w:rPr>
      </w:pPr>
    </w:p>
    <w:p>
      <w:pPr>
        <w:ind w:right="700" w:firstLine="749"/>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no director, officer or other employee of the Company (or any other person who this Policy or the Compliance Officer designates as subject to this Policy) who is aware of material nonpublic information relating to the Company may, directly, or indirectly through Family Members, Controlled Entities, or any other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111" w:lineRule="exact"/>
        <w:rPr>
          <w:sz w:val="20"/>
          <w:szCs w:val="20"/>
          <w:color w:val="auto"/>
        </w:rPr>
      </w:pPr>
    </w:p>
    <w:p>
      <w:pPr>
        <w:ind w:left="1540" w:right="260" w:hanging="514"/>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“Transactions Not Involving a Purchase or Sale” and “Rule 10b5-1 Plans”;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1"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7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ind w:right="40" w:firstLine="744"/>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93" w:lineRule="exact"/>
        <w:rPr>
          <w:sz w:val="20"/>
          <w:szCs w:val="20"/>
          <w:color w:val="auto"/>
        </w:rPr>
      </w:pPr>
    </w:p>
    <w:p>
      <w:pPr>
        <w:ind w:right="20" w:firstLine="744"/>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in this Policy. There is no exception from this Policy for transactions that may be necessary or justifiable for independent reasons (such as the need to raise money for an emergency expenditure) or small transactions. The securities laws do not recognize any mitigating circumstances, and in any event, even the appearance of an improper transaction must be avoided to preserve the Company’s reputation for adhering to the highest standards of conduct.</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VII. </w:t>
      </w:r>
      <w:r>
        <w:rPr>
          <w:rFonts w:ascii="Times New Roman" w:cs="Times New Roman" w:eastAsia="Times New Roman" w:hAnsi="Times New Roman"/>
          <w:sz w:val="17"/>
          <w:szCs w:val="17"/>
          <w:b w:val="1"/>
          <w:bCs w:val="1"/>
          <w:u w:val="single" w:color="auto"/>
          <w:color w:val="auto"/>
        </w:rPr>
        <w:t>Definition of Material Nonpublic Information</w:t>
      </w:r>
    </w:p>
    <w:p>
      <w:pPr>
        <w:spacing w:after="0" w:line="285"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is considered “material” if a reasonable investor would consider that information significant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enforcement authorities often evaluate it with the benefit of hindsight. In simple terms, material information is any type of information that could reasonably be expected to affect the price of Company securities. While it is not possible to define all categories of material information, some examples of information that ordinarily would be regarded as material are:</w:t>
      </w:r>
    </w:p>
    <w:p>
      <w:pPr>
        <w:spacing w:after="0" w:line="29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Company’s pricing or cost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incidents, including vulnerabilities;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major contracts, orders, suppliers, customers or finance sources, or the loss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or developments in supplies or inventory, including significant product defects or returns;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negotiations;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forthcoming publications or statements by stock market analysts regarding the Company and/or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111"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115" w:lineRule="exact"/>
        <w:rPr>
          <w:sz w:val="20"/>
          <w:szCs w:val="20"/>
          <w:color w:val="auto"/>
        </w:rPr>
      </w:pPr>
    </w:p>
    <w:p>
      <w:pPr>
        <w:ind w:right="80" w:firstLine="749"/>
        <w:spacing w:after="0" w:line="257" w:lineRule="auto"/>
        <w:rPr>
          <w:sz w:val="20"/>
          <w:szCs w:val="20"/>
          <w:color w:val="auto"/>
        </w:rPr>
      </w:pPr>
      <w:r>
        <w:rPr>
          <w:rFonts w:ascii="Times New Roman" w:cs="Times New Roman" w:eastAsia="Times New Roman" w:hAnsi="Times New Roman"/>
          <w:sz w:val="18"/>
          <w:szCs w:val="18"/>
          <w:u w:val="single" w:color="auto"/>
          <w:color w:val="auto"/>
        </w:rPr>
        <w:t>When Information is Considered Public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that has not been disclosed to the public is generally considered to be nonpublic information. To establish that information has been disclosed to the public, it may be necessary to demonstrate that the information has been widely disseminated. Information generally would be considered widely disseminated if it has been disclosed through newswire services, a broadcast on a widely-available radio or television program,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8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sufficient time to absorb the information. As a general rule, information should not be considered fully absorbed by the marketplace until after the second full trading day after the Company releases the information. If, for example, the Company were to make an announcement on a Tuesday morning before the commencement of trading, you should not trade in Company Securities until Thursday. Depending on the particular circumstances, the Company may determine that a longer or shorter period should apply to the release of specific material nonpublic information.</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17"/>
          <w:szCs w:val="17"/>
          <w:b w:val="1"/>
          <w:bCs w:val="1"/>
          <w:u w:val="single" w:color="auto"/>
          <w:color w:val="auto"/>
        </w:rPr>
        <w:t>Information Concerning Other Companies</w:t>
      </w:r>
    </w:p>
    <w:p>
      <w:pPr>
        <w:spacing w:after="0" w:line="30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course of your association with the Company, you may have access to information that is material and nonpublic to other companies, including, but not limited to, customers, partners and competitors of the Company. For example, an individual may possess nonpublic information that a major prospective vendor has chosen to sell products to the Company instead of a competitor. Such material and nonpublic information is the property of the Company and trading, tipping or rendering trading advice relating to the securities of such other companies while aware of such material and nonpublic information could violate federal and state securities laws. In addition, inappropriate trading, tipping or trading advice could irretrievably damage the Company’s customer or partnership relationships. For these reasons, the Company prohibits persons from trading, tipping and rendering trading advice relating to other companies while aware of information that is material and nonpublic relating to such companies.</w:t>
      </w:r>
    </w:p>
    <w:p>
      <w:pPr>
        <w:spacing w:after="0" w:line="283"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18"/>
          <w:szCs w:val="18"/>
          <w:b w:val="1"/>
          <w:bCs w:val="1"/>
          <w:u w:val="single" w:color="auto"/>
          <w:color w:val="auto"/>
        </w:rPr>
        <w:t>Transactions Under Company Plans</w:t>
      </w:r>
    </w:p>
    <w:p>
      <w:pPr>
        <w:spacing w:after="0" w:line="2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3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 Company’s equity incentive plans or to the exercise of a share withholding right pursuant to which you have elected to have the Company withhold shares subject to an option to satisfy tax withholding requirements or the exercise price for the option. This Policy does apply, however, to any sale of stock as part of a broker-assisted cashless exercise of an option or any other market sale for the purpose of generating the cash needed to pay tax withholding amounts or the exercise price of an option or otherwise.</w:t>
      </w:r>
    </w:p>
    <w:p>
      <w:pPr>
        <w:spacing w:after="0" w:line="181"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Policy does not apply to the vesting of restricted stock or the exercise of a tax withholding right pursuant to which you elect to have the Company withhold shares of stock necessary to satisfy tax withholding obligations arising exclusively from the vesting of restricted stock. This Policy does apply, however, to any market sale of restricted stock that has vested.</w:t>
      </w:r>
    </w:p>
    <w:p>
      <w:pPr>
        <w:spacing w:after="0" w:line="305"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u w:val="single" w:color="auto"/>
          <w:color w:val="auto"/>
        </w:rPr>
        <w:t>Gifts of Company Securities</w:t>
      </w:r>
    </w:p>
    <w:p>
      <w:pPr>
        <w:spacing w:after="0" w:line="2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Gifts of Company Securities to or from Designated Persons </w:t>
      </w:r>
      <w:r>
        <w:rPr>
          <w:rFonts w:ascii="Times New Roman" w:cs="Times New Roman" w:eastAsia="Times New Roman" w:hAnsi="Times New Roman"/>
          <w:sz w:val="18"/>
          <w:szCs w:val="18"/>
          <w:u w:val="single" w:color="auto"/>
          <w:color w:val="auto"/>
        </w:rPr>
        <w:t>are</w:t>
      </w:r>
      <w:r>
        <w:rPr>
          <w:rFonts w:ascii="Times New Roman" w:cs="Times New Roman" w:eastAsia="Times New Roman" w:hAnsi="Times New Roman"/>
          <w:sz w:val="18"/>
          <w:szCs w:val="18"/>
          <w:color w:val="auto"/>
        </w:rPr>
        <w:t xml:space="preserve"> considered transactions subject to this Policy.</w:t>
      </w:r>
    </w:p>
    <w:p>
      <w:pPr>
        <w:spacing w:after="0" w:line="38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18"/>
          <w:szCs w:val="18"/>
          <w:b w:val="1"/>
          <w:bCs w:val="1"/>
          <w:u w:val="single" w:color="auto"/>
          <w:color w:val="auto"/>
        </w:rPr>
        <w:t>Transactions Not Involving a Purchase or Sale</w:t>
      </w:r>
    </w:p>
    <w:p>
      <w:pPr>
        <w:spacing w:after="0" w:line="368"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Transactions in mutual funds, most exchange traded funds, index funds or similar funds that are invested in Company Securities </w:t>
      </w:r>
      <w:r>
        <w:rPr>
          <w:rFonts w:ascii="Times New Roman" w:cs="Times New Roman" w:eastAsia="Times New Roman" w:hAnsi="Times New Roman"/>
          <w:sz w:val="18"/>
          <w:szCs w:val="18"/>
          <w:u w:val="single" w:color="auto"/>
          <w:color w:val="auto"/>
        </w:rPr>
        <w:t>are not</w:t>
      </w:r>
      <w:r>
        <w:rPr>
          <w:rFonts w:ascii="Times New Roman" w:cs="Times New Roman" w:eastAsia="Times New Roman" w:hAnsi="Times New Roman"/>
          <w:sz w:val="18"/>
          <w:szCs w:val="18"/>
          <w:color w:val="auto"/>
        </w:rPr>
        <w:t xml:space="preserve"> transactions subject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XII. </w:t>
      </w:r>
      <w:r>
        <w:rPr>
          <w:rFonts w:ascii="Times New Roman" w:cs="Times New Roman" w:eastAsia="Times New Roman" w:hAnsi="Times New Roman"/>
          <w:sz w:val="17"/>
          <w:szCs w:val="17"/>
          <w:b w:val="1"/>
          <w:bCs w:val="1"/>
          <w:u w:val="single" w:color="auto"/>
          <w:color w:val="auto"/>
        </w:rPr>
        <w:t>Special and Prohibited Transactions</w:t>
      </w:r>
    </w:p>
    <w:p>
      <w:pPr>
        <w:spacing w:after="0" w:line="30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87"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Short-term trading of Company Securities may be distracting to you and may unduly focus you on the Company’s short-term stock market performance instead of the Company’s long-term business objectives. For these reasons, it is against Company policy to engage in short-term or speculative transactions in Company Securities.</w:t>
      </w:r>
    </w:p>
    <w:p>
      <w:pPr>
        <w:spacing w:after="0" w:line="17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Short sales of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sale of a security that the seller does not own) may evidence an expectation on the part of the seller that the securities will decline in value and therefore have the potential to signal to the market that you lack confidence in the Company’s prospects. In addition, short sales may reduce your incentive to seek to improve the Company’s performance. For these reasons, short sales of Company Securities are prohibited. In addition, Section 16(c)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prohibits officers and directors from engaging in short sales.</w:t>
      </w:r>
    </w:p>
    <w:p>
      <w:pPr>
        <w:spacing w:after="0" w:line="19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Publicly-Traded Options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Given the relatively short term of publicly-traded options, transactions in options may create the appearance that you are trading based on material nonpublic information and focus your attention on short-term performance at the expense of the Company’s long-term objectives. Accordingly, transactions in put options, call options or other derivative securities, on an exchange or in any other organized market, are prohibited by this Policy.</w:t>
      </w:r>
    </w:p>
    <w:p>
      <w:pPr>
        <w:spacing w:after="0" w:line="180"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Hedging or monetization transactions can be accomplished through a number of possible mechanisms, including through the use of financial instruments such as prepaid variable forwards, equity swaps, collars and private exchange funds. Such hedging transactions may permit you to continue to own Company Securities obtained through employee benefit plans or otherwise but without the full risks and rewards of ownership.</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When that occurs, you may no longer have the same objectives as the Company’s other stockholders. Therefore, you are prohibited from engaging in any such transactions.</w:t>
      </w:r>
    </w:p>
    <w:p>
      <w:pPr>
        <w:spacing w:after="0" w:line="17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Margin Accounts and Pledged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you as the pledger are aware of material nonpublic information or otherwise are not permitted to trade in Company Securities, you are prohibited from holding Company Securities in a margin account or otherwise pledging Company Securities as collateral for a loan.</w:t>
      </w:r>
    </w:p>
    <w:p>
      <w:pPr>
        <w:spacing w:after="0" w:line="197"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u w:val="single" w:color="auto"/>
          <w:color w:val="auto"/>
        </w:rPr>
        <w:t>Standing and Limit Orders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you determine that you must use a standing order or limit order, the order should be limited to short duration and should otherwise comply with the restrictions and procedures outlined below under the heading “Additional Procedures for Certain Designated Persons.”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XIII. </w:t>
      </w:r>
      <w:r>
        <w:rPr>
          <w:rFonts w:ascii="Times New Roman" w:cs="Times New Roman" w:eastAsia="Times New Roman" w:hAnsi="Times New Roman"/>
          <w:sz w:val="17"/>
          <w:szCs w:val="17"/>
          <w:b w:val="1"/>
          <w:bCs w:val="1"/>
          <w:u w:val="single" w:color="auto"/>
          <w:color w:val="auto"/>
        </w:rPr>
        <w:t>Additional Procedures for Certain Designated Persons</w:t>
      </w:r>
    </w:p>
    <w:p>
      <w:pPr>
        <w:spacing w:after="0" w:line="2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established additional procedures to assist the Company in the administration of this Policy, to facilitate compliance with laws prohibiting insider trading while in possession of material nonpublic information, and to avoid the appearance of any impropriety. </w:t>
      </w:r>
      <w:r>
        <w:rPr>
          <w:rFonts w:ascii="Times New Roman" w:cs="Times New Roman" w:eastAsia="Times New Roman" w:hAnsi="Times New Roman"/>
          <w:sz w:val="18"/>
          <w:szCs w:val="18"/>
          <w:b w:val="1"/>
          <w:bCs w:val="1"/>
          <w:color w:val="auto"/>
        </w:rPr>
        <w:t>These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procedures apply to you </w:t>
      </w:r>
      <w:r>
        <w:rPr>
          <w:rFonts w:ascii="Times New Roman" w:cs="Times New Roman" w:eastAsia="Times New Roman" w:hAnsi="Times New Roman"/>
          <w:sz w:val="18"/>
          <w:szCs w:val="18"/>
          <w:b w:val="1"/>
          <w:bCs w:val="1"/>
          <w:u w:val="single" w:color="auto"/>
          <w:color w:val="auto"/>
        </w:rPr>
        <w:t>only</w:t>
      </w:r>
      <w:r>
        <w:rPr>
          <w:rFonts w:ascii="Times New Roman" w:cs="Times New Roman" w:eastAsia="Times New Roman" w:hAnsi="Times New Roman"/>
          <w:sz w:val="18"/>
          <w:szCs w:val="18"/>
          <w:b w:val="1"/>
          <w:bCs w:val="1"/>
          <w:color w:val="auto"/>
        </w:rPr>
        <w:t xml:space="preserve"> if you are a member of the Company’s Board of Directors or an officer or key employee that the Compliance Officer designates from time to time (the “</w:t>
      </w:r>
      <w:r>
        <w:rPr>
          <w:rFonts w:ascii="Times New Roman" w:cs="Times New Roman" w:eastAsia="Times New Roman" w:hAnsi="Times New Roman"/>
          <w:sz w:val="18"/>
          <w:szCs w:val="18"/>
          <w:b w:val="1"/>
          <w:bCs w:val="1"/>
          <w:u w:val="single" w:color="auto"/>
          <w:color w:val="auto"/>
        </w:rPr>
        <w:t>Designated Persons</w:t>
      </w:r>
      <w:r>
        <w:rPr>
          <w:rFonts w:ascii="Times New Roman" w:cs="Times New Roman" w:eastAsia="Times New Roman" w:hAnsi="Times New Roman"/>
          <w:sz w:val="18"/>
          <w:szCs w:val="18"/>
          <w:b w:val="1"/>
          <w:bCs w:val="1"/>
          <w:color w:val="auto"/>
        </w:rPr>
        <w:t>”).</w:t>
      </w:r>
    </w:p>
    <w:p>
      <w:pPr>
        <w:spacing w:after="0" w:line="2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Pre-Clearance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you are a Designated Person, then you, your Family Members and your Controlled Entities may not engage in any transaction in Company Securities without first obtaining pre-clearance of the transaction from the Compliance Officer. You should submit a request for pre-clearance to the Compliance Officer at least two (2) business days in advance of the proposed transaction. The Compliance Officer is under no obligation to approve a transaction that you submit for pre-clearance and may determine not to permit the transaction. If you seek pre-clearance and permission to engage in the transaction is denied, then you should refrain from initiating any transaction in Company Securities and should not inform any other person of the restriction. When you make a request for pre-clearance, you should carefully consider whether you may be aware of any material nonpublic information about the Company. You should also indicate whether you have effected any non-exempt “opposite-way” transactions within the past six months and should be prepared to report the proposed transaction on an appropriate Form 4 or Form 5. You should also be prepared to comply with SEC Rule 144 and file Form 144,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at the time of any sale.</w:t>
      </w:r>
    </w:p>
    <w:p>
      <w:pPr>
        <w:spacing w:after="0" w:line="23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Quarterly Trading Windows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Designated Persons, as well as their Family Members and Controlled Entities, may only conduct transactions in Company Securities during the four quarterly “Window Periods” beginning after the second full trading day following the Company’s press release announcing its quarterly or annual financial results and ending as follows: (i) for the Window Periods occurring during the first three quarters of the Company’s fiscal year (i.e., following the press release announcing financial results for the immediately preceding fiscal year or the immediately preceding first or second quarter), the final day of the tenth fiscal week of each such quarter; or (ii) for the Window Period occurring during the fourth quarter of the Company’s fiscal year (i.e., following the press release announcing the immediately preceding third quarter financial results), the final day of the sixth fiscal week of the fourth quarter, in all cases regardless of the timing of the press release. The Window Periods will be announced from time to time by the Compliance Officer (these will be subject to change as the earnings release dates change).</w:t>
      </w:r>
    </w:p>
    <w:p>
      <w:pPr>
        <w:spacing w:after="0" w:line="18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Event-Specific Trading Restriction Periods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From time to time, circumstances may occur that are or may be material to the Company and, in the judgment of the Compliance Officer, all or certain of the Designated Persons should refrain from trading in Company Securities even during a Window Period. In that situation, the Compliance Officer may notify these persons that they should not trade in the Company’s Securities without disclosing the reason for the restriction. The existence of an event-specific trading restriction period will not be announced to the Company as a whole and should not be communicated to any other person.</w:t>
      </w:r>
    </w:p>
    <w:p>
      <w:pPr>
        <w:spacing w:after="0" w:line="19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xml:space="preserve"> The quarterly trading restrictions and event-specific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event-driven trading restrictions do not apply to transactions conducted pursuant to approved Rule 10b5-1 plans described below under the heading “Rule 10b5-1 Plans.”</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u w:val="single" w:color="auto"/>
          <w:color w:val="auto"/>
        </w:rPr>
        <w:t>Compliance Officer Trades.</w:t>
      </w:r>
      <w:r>
        <w:rPr>
          <w:rFonts w:ascii="Times New Roman" w:cs="Times New Roman" w:eastAsia="Times New Roman" w:hAnsi="Times New Roman"/>
          <w:sz w:val="18"/>
          <w:szCs w:val="18"/>
          <w:color w:val="auto"/>
        </w:rPr>
        <w:t xml:space="preserve"> If the Compliance Officer desires to complete any trades involving Company securities, he or she must first obtain the approval of the Chief Executive Officer of the Company.</w:t>
      </w:r>
    </w:p>
    <w:p>
      <w:pPr>
        <w:spacing w:after="0" w:line="2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XIV. </w:t>
      </w:r>
      <w:r>
        <w:rPr>
          <w:rFonts w:ascii="Times New Roman" w:cs="Times New Roman" w:eastAsia="Times New Roman" w:hAnsi="Times New Roman"/>
          <w:sz w:val="17"/>
          <w:szCs w:val="17"/>
          <w:b w:val="1"/>
          <w:bCs w:val="1"/>
          <w:u w:val="single" w:color="auto"/>
          <w:color w:val="auto"/>
        </w:rPr>
        <w:t>Rule 10b5-1 Plans</w:t>
      </w:r>
    </w:p>
    <w:p>
      <w:pPr>
        <w:spacing w:after="0" w:line="300" w:lineRule="exact"/>
        <w:rPr>
          <w:sz w:val="20"/>
          <w:szCs w:val="20"/>
          <w:color w:val="auto"/>
        </w:rPr>
      </w:pPr>
    </w:p>
    <w:p>
      <w:pPr>
        <w:ind w:left="120" w:right="40" w:firstLine="749"/>
        <w:spacing w:after="0" w:line="254"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To be eligible to rely on this defense, a person subject to this Policy must enter into a Rule 10b5-1 plan for transactions in Company Securities that meet certain conditions specified in the Rule (a “</w:t>
      </w:r>
      <w:r>
        <w:rPr>
          <w:rFonts w:ascii="Times New Roman" w:cs="Times New Roman" w:eastAsia="Times New Roman" w:hAnsi="Times New Roman"/>
          <w:sz w:val="18"/>
          <w:szCs w:val="18"/>
          <w:b w:val="1"/>
          <w:bCs w:val="1"/>
          <w:u w:val="single" w:color="auto"/>
          <w:color w:val="auto"/>
        </w:rPr>
        <w:t>Rule 10b5-1 Plan</w:t>
      </w:r>
      <w:r>
        <w:rPr>
          <w:rFonts w:ascii="Times New Roman" w:cs="Times New Roman" w:eastAsia="Times New Roman" w:hAnsi="Times New Roman"/>
          <w:sz w:val="18"/>
          <w:szCs w:val="18"/>
          <w:color w:val="auto"/>
        </w:rPr>
        <w:t>”). If the plan meets the requirements of Rule 10b5-1, it provides an affirmative defense that the purchase or sale of Company Securities was not made on the basis of material nonpublic information. Under this Policy, only Designated Persons may utilize Rule 10b5-1 Plans. For a Designated Person to comply with this Policy, the Compliance Officer must approve the Rule 10b5-1 Plan (and any modification, amendment or termination of a plan) in advance. In addition, a Rule 10b5-1 Plan must be entered into in good faith at a time when the Designated Person entering into the plan is not aware of material nonpublic information. Once the plan is adopted, the Designated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8" w:lineRule="exact"/>
        <w:rPr>
          <w:sz w:val="20"/>
          <w:szCs w:val="20"/>
          <w:color w:val="auto"/>
        </w:rPr>
      </w:pPr>
    </w:p>
    <w:p>
      <w:pPr>
        <w:ind w:left="120" w:right="40" w:firstLine="749"/>
        <w:spacing w:after="0" w:line="253" w:lineRule="auto"/>
        <w:rPr>
          <w:sz w:val="20"/>
          <w:szCs w:val="20"/>
          <w:color w:val="auto"/>
        </w:rPr>
      </w:pPr>
      <w:r>
        <w:rPr>
          <w:rFonts w:ascii="Times New Roman" w:cs="Times New Roman" w:eastAsia="Times New Roman" w:hAnsi="Times New Roman"/>
          <w:sz w:val="18"/>
          <w:szCs w:val="18"/>
          <w:color w:val="auto"/>
        </w:rPr>
        <w:t xml:space="preserve">A Designated Person submitting a Rule 10b5-1 Plan to the Compliance Officer for approval must submit it to the Compliance Officer no less than 10 days prior to adoption (or any modification or termination) of the plan. Any transactions under the Rule 10b5-1 Plan must commence at least 30 days </w:t>
      </w:r>
      <w:r>
        <w:rPr>
          <w:rFonts w:ascii="Times New Roman" w:cs="Times New Roman" w:eastAsia="Times New Roman" w:hAnsi="Times New Roman"/>
          <w:sz w:val="18"/>
          <w:szCs w:val="18"/>
          <w:u w:val="single" w:color="auto"/>
          <w:color w:val="auto"/>
        </w:rPr>
        <w:t>after</w:t>
      </w:r>
      <w:r>
        <w:rPr>
          <w:rFonts w:ascii="Times New Roman" w:cs="Times New Roman" w:eastAsia="Times New Roman" w:hAnsi="Times New Roman"/>
          <w:sz w:val="18"/>
          <w:szCs w:val="18"/>
          <w:color w:val="auto"/>
        </w:rPr>
        <w:t xml:space="preserve"> adoption (or any modification) of the plan, or such additional time as may be required by applicable rules and regulations (the “cooling off period”). For the Company’s Board of Directors and officers (as defined in Rule 16a–1(f)), the minimum cooling off period shall be the later of: (i) 90 days after the adoption (or any modification) of the plan; or (ii) two business days following the filing of the Company’s Form 10-Q or 10-K for the fiscal quarter in which the plan was adopted or modified, not to exceed 120 days following adoption (or modification) of the plan. If a Designated Person has received advance approval of a Rule 10b5-1 Plan and has not modified or amended the plan, then this Policy does not require further pre-approval of transactions conducted pursuant to the approved Rule 10b5-1 Plan, unless otherwise required by Rule 10b5-1. Notwithstanding the foregoing, the Company reserves the right from time to time to suspend, discontinue, or otherwise prohibit transactions under a Rule 10b5-1 Plan if the Compliance Officer or the Board of Directors, in its discretion, determines that such suspension, discontinuation, or other prohibition is in the best interests of the Company or fails to comply with Rule 10b5-1 as amended from time to time.</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XV. </w:t>
      </w:r>
      <w:r>
        <w:rPr>
          <w:rFonts w:ascii="Times New Roman" w:cs="Times New Roman" w:eastAsia="Times New Roman" w:hAnsi="Times New Roman"/>
          <w:sz w:val="17"/>
          <w:szCs w:val="17"/>
          <w:b w:val="1"/>
          <w:bCs w:val="1"/>
          <w:u w:val="single" w:color="auto"/>
          <w:color w:val="auto"/>
        </w:rPr>
        <w:t>Post-Termination Transactions</w:t>
      </w:r>
    </w:p>
    <w:p>
      <w:pPr>
        <w:spacing w:after="0" w:line="30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you are in possession of material nonpublic information when your service terminates, then you may not trade in Company Securities until that information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XVI. </w:t>
      </w:r>
      <w:r>
        <w:rPr>
          <w:rFonts w:ascii="Times New Roman" w:cs="Times New Roman" w:eastAsia="Times New Roman" w:hAnsi="Times New Roman"/>
          <w:sz w:val="17"/>
          <w:szCs w:val="17"/>
          <w:b w:val="1"/>
          <w:bCs w:val="1"/>
          <w:u w:val="single" w:color="auto"/>
          <w:color w:val="auto"/>
        </w:rPr>
        <w:t>Consequences of Violations</w:t>
      </w:r>
    </w:p>
    <w:p>
      <w:pPr>
        <w:spacing w:after="0" w:line="300"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and foreign enforcement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addition, your failure to comply with this Policy may subject you to Company- imposed sanctions, including dismissal for cause, whether or not your failure to comply results in a violation of law. Needless to say, a violation of law, or even an SEC investigation that does not result in prosecution, can tarnish a person’s reputation and irreparably damage a career.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XVII.</w:t>
      </w:r>
      <w:r>
        <w:rPr>
          <w:rFonts w:ascii="Times New Roman" w:cs="Times New Roman" w:eastAsia="Times New Roman" w:hAnsi="Times New Roman"/>
          <w:sz w:val="17"/>
          <w:szCs w:val="17"/>
          <w:b w:val="1"/>
          <w:bCs w:val="1"/>
          <w:u w:val="single" w:color="auto"/>
          <w:color w:val="auto"/>
        </w:rPr>
        <w:t>Company Assistance</w:t>
      </w:r>
    </w:p>
    <w:p>
      <w:pPr>
        <w:spacing w:after="0" w:line="30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If you have a question about this Policy or its application to any proposed transaction, you may obtain additional guidance from the Compliance Officer, who can be reached by contacting the Company’s Legal Department.</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XVIII.</w:t>
      </w:r>
      <w:r>
        <w:rPr>
          <w:rFonts w:ascii="Times New Roman" w:cs="Times New Roman" w:eastAsia="Times New Roman" w:hAnsi="Times New Roman"/>
          <w:sz w:val="17"/>
          <w:szCs w:val="17"/>
          <w:b w:val="1"/>
          <w:bCs w:val="1"/>
          <w:u w:val="single" w:color="auto"/>
          <w:color w:val="auto"/>
        </w:rPr>
        <w:t>Certification</w:t>
      </w:r>
    </w:p>
    <w:p>
      <w:pPr>
        <w:spacing w:after="0" w:line="30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This Policy will be delivered to all directors, officers, employees and designated outsiders, and to all new directors, officers, employees and designated outsiders at the start of their employment or relationship with the Company. Upon first receiving a copy of the Policy or any revised versions, each individual subject to the Policy must sign an acknowledgment that he or she has received a copy of the Policy and agrees to comply with the Policy’s terms.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 xml:space="preserve">XIX. </w:t>
      </w:r>
      <w:r>
        <w:rPr>
          <w:rFonts w:ascii="Times New Roman" w:cs="Times New Roman" w:eastAsia="Times New Roman" w:hAnsi="Times New Roman"/>
          <w:sz w:val="17"/>
          <w:szCs w:val="17"/>
          <w:b w:val="1"/>
          <w:bCs w:val="1"/>
          <w:u w:val="single" w:color="auto"/>
          <w:color w:val="auto"/>
        </w:rPr>
        <w:t>Priority of Statutory or Regulatory Trading Restrictions</w:t>
      </w:r>
    </w:p>
    <w:p>
      <w:pPr>
        <w:spacing w:after="0" w:line="2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trading prohibitions and restrictions set forth in the Policy will be superseded by any greater prohibitions or restrictions under federal or state securities laws and regulations, such as short-swing trading prohibitions or restrictions on the sale of securities subject to Rule 144 under the Securities Act. Anyone who is uncertain whether other prohibitions or restrictions apply should contact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is a list of subsidiaries of Lands’ End, Inc., the names under which such subsidiaries do business, and the state or country in which each was organized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r>
      <w:tr>
        <w:trPr>
          <w:trHeight w:val="196"/>
        </w:trPr>
        <w:tc>
          <w:tcPr>
            <w:tcW w:w="9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8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Organization</w:t>
            </w:r>
          </w:p>
        </w:tc>
        <w:tc>
          <w:tcPr>
            <w:tcW w:w="12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218"/>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Canada Outfitters ULC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Direct Merchants,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International,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Europe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 &amp; Wales</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GmbH</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(HK) Limited</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Lands’ End Japan, Inc.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9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Lands’ End Publishing,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9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LEGC, LLC</w:t>
            </w:r>
          </w:p>
        </w:tc>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1627"/>
        </w:trPr>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333-263594 on Form S-3 and Registration Statement Nos. 333-195111, 333-215262, 333-217096, 333-231470, 333-268170 and 333-272630 on Form S-8 of our report dated March 27, 2025, relating to the consolidated financial statements of Lands’ End, Inc. and subsidiaries (the “Company”), and the effectiveness of the Company’s internal control over financial reporting appearing in this Annual Report on Form 10-K of Lands’ End, Inc. for the year ended January 31,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McLean, certify that:</w:t>
      </w:r>
    </w:p>
    <w:p>
      <w:pPr>
        <w:spacing w:after="0" w:line="144"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McCracken, certify that:</w:t>
      </w:r>
    </w:p>
    <w:p>
      <w:pPr>
        <w:spacing w:after="0" w:line="144" w:lineRule="exact"/>
        <w:rPr>
          <w:sz w:val="20"/>
          <w:szCs w:val="20"/>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Lands’ End, Inc.;</w:t>
      </w:r>
    </w:p>
    <w:p>
      <w:pPr>
        <w:spacing w:after="0" w:line="15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500" w:right="38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00" w:right="26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00" w:right="52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 as adopted by Section 906 of the Sarbanes-Oxley Act of 2002</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Each of the undersigned, Andrew J. McLean, Chief Executive Officer of Lands’ End, Inc. (the “Company”) and Bernard McCracken, Chief Financial Officer and Treasurer of the Company, has executed this certification in connection with the filing with the Securities and Exchange Commission of the Company’s Annual Report on Form 10-K for the fiscal year ended January 31, 2025 (the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that:</w:t>
      </w:r>
    </w:p>
    <w:p>
      <w:pPr>
        <w:spacing w:after="0" w:line="144"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Andrew J. McLean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Bernard McCracken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lvl w:ilvl="1">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lvl w:ilvl="1">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Roman"/>
      <w:start w:val="1"/>
    </w:lvl>
  </w:abstractNum>
  <w:abstractNum w:abstractNumId="28">
    <w:nsid w:val="542289EC"/>
    <w:multiLevelType w:val="hybridMultilevel"/>
    <w:lvl w:ilvl="0">
      <w:lvlJc w:val="left"/>
      <w:lvlText w:val="%1."/>
      <w:numFmt w:val="lowerRoman"/>
      <w:start w:val="3"/>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2"/>
    </w:lvl>
  </w:abstractNum>
  <w:abstractNum w:abstractNumId="36">
    <w:nsid w:val="3DC240FB"/>
    <w:multiLevelType w:val="hybridMultilevel"/>
    <w:lvl w:ilvl="0">
      <w:lvlJc w:val="left"/>
      <w:lvlText w:val="%1."/>
      <w:numFmt w:val="decimal"/>
      <w:start w:val="3"/>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lvl w:ilvl="1">
      <w:lvlJc w:val="left"/>
      <w:lvlText w:val="%2."/>
      <w:numFmt w:val="lowerLetter"/>
      <w:start w:val="1"/>
    </w:lvl>
  </w:abstractNum>
  <w:abstractNum w:abstractNumId="44">
    <w:nsid w:val="4F4EF00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5">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649BB77C"/>
    <w:multiLevelType w:val="hybridMultilevel"/>
    <w:lvl w:ilvl="0">
      <w:lvlJc w:val="left"/>
      <w:lvlText w:val="%1."/>
      <w:numFmt w:val="lowerRoman"/>
      <w:start w:val="3"/>
    </w:lvl>
  </w:abstractNum>
  <w:abstractNum w:abstractNumId="47">
    <w:nsid w:val="275AC794"/>
    <w:multiLevelType w:val="hybridMultilevel"/>
    <w:lvl w:ilvl="0">
      <w:lvlJc w:val="left"/>
      <w:lvlText w:val="%1"/>
      <w:numFmt w:val="decimal"/>
      <w:start w:val="1"/>
    </w:lvl>
    <w:lvl w:ilvl="1">
      <w:lvlJc w:val="left"/>
      <w:lvlText w:val="%2."/>
      <w:numFmt w:val="lowerLetter"/>
      <w:start w:val="2"/>
    </w:lvl>
  </w:abstractNum>
  <w:abstractNum w:abstractNumId="48">
    <w:nsid w:val="39386575"/>
    <w:multiLevelType w:val="hybridMultilevel"/>
    <w:lvl w:ilvl="0">
      <w:lvlJc w:val="left"/>
      <w:lvlText w:val="%1."/>
      <w:numFmt w:val="decimal"/>
      <w:start w:val="4"/>
    </w:lvl>
    <w:lvl w:ilvl="1">
      <w:lvlJc w:val="left"/>
      <w:lvlText w:val="%2"/>
      <w:numFmt w:val="lowerLetter"/>
      <w:start w:val="1"/>
    </w:lvl>
  </w:abstractNum>
  <w:abstractNum w:abstractNumId="49">
    <w:nsid w:val="1CF10FD8"/>
    <w:multiLevelType w:val="hybridMultilevel"/>
    <w:lvl w:ilvl="0">
      <w:lvlJc w:val="left"/>
      <w:lvlText w:val="%1."/>
      <w:numFmt w:val="decimal"/>
      <w:start w:val="7"/>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decimal"/>
      <w:start w:val="14"/>
    </w:lvl>
  </w:abstractNum>
  <w:abstractNum w:abstractNumId="52">
    <w:nsid w:val="47398C89"/>
    <w:multiLevelType w:val="hybridMultilevel"/>
    <w:lvl w:ilvl="0">
      <w:lvlJc w:val="left"/>
      <w:lvlText w:val="L"/>
      <w:numFmt w:val="bullet"/>
      <w:start w:val="1"/>
    </w:lvl>
  </w:abstractNum>
  <w:abstractNum w:abstractNumId="53">
    <w:nsid w:val="354FE9F9"/>
    <w:multiLevelType w:val="hybridMultilevel"/>
    <w:lvl w:ilvl="0">
      <w:lvlJc w:val="left"/>
      <w:lvlText w:val="%1."/>
      <w:numFmt w:val="upperLetter"/>
      <w:start w:val="9"/>
    </w:lvl>
  </w:abstractNum>
  <w:abstractNum w:abstractNumId="54">
    <w:nsid w:val="15B5AF5C"/>
    <w:multiLevelType w:val="hybridMultilevel"/>
    <w:lvl w:ilvl="0">
      <w:lvlJc w:val="left"/>
      <w:lvlText w:val="%1."/>
      <w:numFmt w:val="upperLetter"/>
      <w:start w:val="35"/>
    </w:lvl>
  </w:abstractNum>
  <w:abstractNum w:abstractNumId="55">
    <w:nsid w:val="741226BB"/>
    <w:multiLevelType w:val="hybridMultilevel"/>
    <w:lvl w:ilvl="0">
      <w:lvlJc w:val="left"/>
      <w:lvlText w:val="%1."/>
      <w:numFmt w:val="upperLetter"/>
      <w:start w:val="61"/>
    </w:lvl>
  </w:abstractNum>
  <w:abstractNum w:abstractNumId="56">
    <w:nsid w:val="D34B6A8"/>
    <w:multiLevelType w:val="hybridMultilevel"/>
    <w:lvl w:ilvl="0">
      <w:lvlJc w:val="left"/>
      <w:lvlText w:val="%1."/>
      <w:numFmt w:val="upperLetter"/>
      <w:start w:val="22"/>
    </w:lvl>
  </w:abstractNum>
  <w:abstractNum w:abstractNumId="57">
    <w:nsid w:val="10233C99"/>
    <w:multiLevelType w:val="hybridMultilevel"/>
    <w:lvl w:ilvl="0">
      <w:lvlJc w:val="left"/>
      <w:lvlText w:val="%1."/>
      <w:numFmt w:val="upperLetter"/>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upperLetter"/>
      <w:start w:val="24"/>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6" Type="http://schemas.openxmlformats.org/officeDocument/2006/relationships/image" Target="media/image188.png"/><Relationship Id="rId198" Type="http://schemas.openxmlformats.org/officeDocument/2006/relationships/image" Target="media/image189.png"/><Relationship Id="rId200" Type="http://schemas.openxmlformats.org/officeDocument/2006/relationships/image" Target="media/image190.png"/><Relationship Id="rId202" Type="http://schemas.openxmlformats.org/officeDocument/2006/relationships/image" Target="media/image191.png"/><Relationship Id="rId204"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10" Type="http://schemas.openxmlformats.org/officeDocument/2006/relationships/image" Target="media/image196.png"/><Relationship Id="rId212"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9" Type="http://schemas.openxmlformats.org/officeDocument/2006/relationships/image" Target="media/image201.png"/><Relationship Id="rId221" Type="http://schemas.openxmlformats.org/officeDocument/2006/relationships/image" Target="media/image202.png"/><Relationship Id="rId223" Type="http://schemas.openxmlformats.org/officeDocument/2006/relationships/image" Target="media/image203.png"/><Relationship Id="rId225" Type="http://schemas.openxmlformats.org/officeDocument/2006/relationships/image" Target="media/image204.png"/><Relationship Id="rId227" Type="http://schemas.openxmlformats.org/officeDocument/2006/relationships/image" Target="media/image205.png"/><Relationship Id="rId229" Type="http://schemas.openxmlformats.org/officeDocument/2006/relationships/image" Target="media/image206.png"/><Relationship Id="rId231" Type="http://schemas.openxmlformats.org/officeDocument/2006/relationships/image" Target="media/image207.png"/><Relationship Id="rId233"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9" Type="http://schemas.openxmlformats.org/officeDocument/2006/relationships/image" Target="media/image212.png"/><Relationship Id="rId241" Type="http://schemas.openxmlformats.org/officeDocument/2006/relationships/image" Target="media/image213.png"/><Relationship Id="rId243" Type="http://schemas.openxmlformats.org/officeDocument/2006/relationships/image" Target="media/image214.png"/><Relationship Id="rId245" Type="http://schemas.openxmlformats.org/officeDocument/2006/relationships/image" Target="media/image215.png"/><Relationship Id="rId247" Type="http://schemas.openxmlformats.org/officeDocument/2006/relationships/image" Target="media/image216.png"/><Relationship Id="rId249" Type="http://schemas.openxmlformats.org/officeDocument/2006/relationships/image" Target="media/image217.png"/><Relationship Id="rId251" Type="http://schemas.openxmlformats.org/officeDocument/2006/relationships/image" Target="media/image218.png"/><Relationship Id="rId253"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9" Type="http://schemas.openxmlformats.org/officeDocument/2006/relationships/image" Target="media/image223.png"/><Relationship Id="rId261" Type="http://schemas.openxmlformats.org/officeDocument/2006/relationships/image" Target="media/image224.png"/><Relationship Id="rId263"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195" Type="http://schemas.openxmlformats.org/officeDocument/2006/relationships/hyperlink" Target="https://www.sec.gov/Archives/edgar/data/799288/000119312514134340/d703946dex21.htm" TargetMode="External"/><Relationship Id="rId197" Type="http://schemas.openxmlformats.org/officeDocument/2006/relationships/hyperlink" Target="https://www.sec.gov/Archives/edgar/data/799288/000156459022011688/le-ex31_240.htm" TargetMode="External"/><Relationship Id="rId199" Type="http://schemas.openxmlformats.org/officeDocument/2006/relationships/hyperlink" Target="https://www.sec.gov/Archives/edgar/data/799288/000095017024108752/le-ex3_1.htm" TargetMode="External"/><Relationship Id="rId201" Type="http://schemas.openxmlformats.org/officeDocument/2006/relationships/hyperlink" Target="https://www.sec.gov/Archives/edgar/data/799288/000079928818000022/a20180202exhibit42.htm" TargetMode="External"/><Relationship Id="rId203" Type="http://schemas.openxmlformats.org/officeDocument/2006/relationships/hyperlink" Target="https://www.sec.gov/Archives/edgar/data/0000799288/000156459020012223/le-ex42_136.htm" TargetMode="External"/><Relationship Id="rId205" Type="http://schemas.openxmlformats.org/officeDocument/2006/relationships/hyperlink" Target="https://www.sec.gov/Archives/edgar/data/0000799288/000156459020043000/le-ex41_11.htm" TargetMode="External"/><Relationship Id="rId209" Type="http://schemas.openxmlformats.org/officeDocument/2006/relationships/hyperlink" Target="https://www.sec.gov/Archives/edgar/data/799288/000156459021040847/le-ex41_7.htm" TargetMode="External"/><Relationship Id="rId211" Type="http://schemas.openxmlformats.org/officeDocument/2006/relationships/hyperlink" Target="https://www.sec.gov/Archives/edgar/data/0000799288/000110465923061925/tm2315710d1_4-1.htm" TargetMode="External"/><Relationship Id="rId213" Type="http://schemas.openxmlformats.org/officeDocument/2006/relationships/hyperlink" Target="https://www.sec.gov/Archives/edgar/data/0000799288/000095017024001005/le-ex4_1.htm" TargetMode="External"/><Relationship Id="rId214" Type="http://schemas.openxmlformats.org/officeDocument/2006/relationships/hyperlink" Target="https://www.sec.gov/Archives/edgar/data/0000799288/000095017024001005/le-ex4_2.htm" TargetMode="External"/><Relationship Id="rId218" Type="http://schemas.openxmlformats.org/officeDocument/2006/relationships/hyperlink" Target="https://www.sec.gov/Archives/edgar/data/799288/000079928819000051/landsendincamendedandresta.htm" TargetMode="External"/><Relationship Id="rId220" Type="http://schemas.openxmlformats.org/officeDocument/2006/relationships/hyperlink" Target="https://www.sec.gov/Archives/edgar/data/799288/000095017023027727/le-ex10_1.htm" TargetMode="External"/><Relationship Id="rId222" Type="http://schemas.openxmlformats.org/officeDocument/2006/relationships/hyperlink" Target="https://www.sec.gov/Archives/edgar/data/799288/000079928819000030/exhibit1021-directorcompen.htm" TargetMode="External"/><Relationship Id="rId224" Type="http://schemas.openxmlformats.org/officeDocument/2006/relationships/hyperlink" Target="https://www.sec.gov/Archives/edgar/data/799288/000079928815000017/exhibit101220150130leumbre.htm" TargetMode="External"/><Relationship Id="rId226" Type="http://schemas.openxmlformats.org/officeDocument/2006/relationships/hyperlink" Target="https://www.sec.gov/Archives/edgar/data/799288/000079928815000017/exhibit101120150130le2014s.htm" TargetMode="External"/><Relationship Id="rId228" Type="http://schemas.openxmlformats.org/officeDocument/2006/relationships/hyperlink" Target="https://www.sec.gov/Archives/edgar/data/799288/000095017023012307/le-ex10_5.htm" TargetMode="External"/><Relationship Id="rId230" Type="http://schemas.openxmlformats.org/officeDocument/2006/relationships/hyperlink" Target="https://www.sec.gov/Archives/edgar/data/799288/000095017023012307/le-ex10_6.htm" TargetMode="External"/><Relationship Id="rId232" Type="http://schemas.openxmlformats.org/officeDocument/2006/relationships/hyperlink" Target="https://www.sec.gov/Archives/edgar/data/799288/000095017023012307/le-ex10_7.htm" TargetMode="External"/><Relationship Id="rId234" Type="http://schemas.openxmlformats.org/officeDocument/2006/relationships/hyperlink" Target="https://www.sec.gov/Archives/edgar/data/799288/000079928815000017/exhibit101620150130leannua.htm" TargetMode="External"/><Relationship Id="rId238" Type="http://schemas.openxmlformats.org/officeDocument/2006/relationships/hyperlink" Target="https://www.sec.gov/Archives/edgar/data/799288/000079928815000017/exhibit101420150130leltip.htm" TargetMode="External"/><Relationship Id="rId240" Type="http://schemas.openxmlformats.org/officeDocument/2006/relationships/hyperlink" Target="https://www.sec.gov/Archives/edgar/data/799288/000079928815000017/exhibit101520150130lecashl.htm" TargetMode="External"/><Relationship Id="rId242" Type="http://schemas.openxmlformats.org/officeDocument/2006/relationships/hyperlink" Target="https://www.sec.gov/Archives/edgar/data/799288/000156459022038838/le-ex101_124.htm" TargetMode="External"/><Relationship Id="rId244" Type="http://schemas.openxmlformats.org/officeDocument/2006/relationships/hyperlink" Target="https://www.sec.gov/Archives/edgar/data/799288/000156459022038838/le-ex102_123.htm" TargetMode="External"/><Relationship Id="rId246" Type="http://schemas.openxmlformats.org/officeDocument/2006/relationships/hyperlink" Target="https://www.sec.gov/Archives/edgar/data/799288/000110465922114886/tm2229442d1_ex99-2.htm" TargetMode="External"/><Relationship Id="rId248" Type="http://schemas.openxmlformats.org/officeDocument/2006/relationships/hyperlink" Target="https://www.sec.gov/Archives/edgar/data/799288/000110465922114886/tm2229442d1_ex99-3.htm" TargetMode="External"/><Relationship Id="rId250" Type="http://schemas.openxmlformats.org/officeDocument/2006/relationships/hyperlink" Target="https://www.sec.gov/Archives/edgar/data/799288/000079928817000084/a20170428exhibit101-grayof.htm" TargetMode="External"/><Relationship Id="rId252" Type="http://schemas.openxmlformats.org/officeDocument/2006/relationships/hyperlink" Target="https://www.sec.gov/Archives/edgar/data/799288/000156459021046967/le-ex103_131.htm" TargetMode="External"/><Relationship Id="rId254" Type="http://schemas.openxmlformats.org/officeDocument/2006/relationships/hyperlink" Target="https://www.sec.gov/Archives/edgar/data/799288/000095017023012307/le-ex10_27.htm" TargetMode="External"/><Relationship Id="rId258" Type="http://schemas.openxmlformats.org/officeDocument/2006/relationships/hyperlink" Target="https://www.sec.gov/Archives/edgar/data/0000799288/000095017023068256/le-ex10_1.htm" TargetMode="External"/><Relationship Id="rId260" Type="http://schemas.openxmlformats.org/officeDocument/2006/relationships/hyperlink" Target="https://www.sec.gov/Archives/edgar/data/799288/000095017025039549/le-ex10_1.htm" TargetMode="External"/><Relationship Id="rId262" Type="http://schemas.openxmlformats.org/officeDocument/2006/relationships/hyperlink" Target="https://www.sec.gov/Archives/edgar/data/799288/000095017023045792/le-ex10_2.htm" TargetMode="External"/><Relationship Id="rId264" Type="http://schemas.openxmlformats.org/officeDocument/2006/relationships/hyperlink" Target="https://www.sec.gov/Archives/edgar/data/799288/000095017023045792/le-ex10_3.htm" TargetMode="External"/><Relationship Id="rId268" Type="http://schemas.openxmlformats.org/officeDocument/2006/relationships/hyperlink" Target="https://www.sec.gov/Archives/edgar/data/799288/000095017024041066/le-ex10_26.htm" TargetMode="External"/><Relationship Id="rId269" Type="http://schemas.openxmlformats.org/officeDocument/2006/relationships/hyperlink" Target="https://www.sec.gov/Archives/edgar/data/799288/000095017024133682/le-ex10_1.htm" TargetMode="External"/><Relationship Id="rId270" Type="http://schemas.openxmlformats.org/officeDocument/2006/relationships/hyperlink" Target="https://www.sec.gov/Archives/edgar/data/799288/000095017024041066/le-ex10_27.htm" TargetMode="External"/><Relationship Id="rId271" Type="http://schemas.openxmlformats.org/officeDocument/2006/relationships/hyperlink" Target="https://www.sec.gov/Archives/edgar/data/799288/000095017024041066/l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2025-03-27T15:32:05Z</dcterms:created>
  <dcterms:modified xsi:type="dcterms:W3CDTF">2025-03-27T15:32:05Z</dcterms:modified>
</cp:coreProperties>
</file>