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le-20251031.htm"/>
        <w:bookmarkStart w:id="1" w:name="ksle20251031"/>
        <w:bookmarkEnd w:id="0"/>
        <w:bookmarkEnd w:id="1"/>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spacing w:before="0" w:after="120"/>
        <w:jc w:val="center"/>
        <w:rPr/>
      </w:pPr>
      <w:r>
        <w:rPr/>
        <w:t> </w:t>
      </w:r>
    </w:p>
    <w:tbl>
      <w:tblPr>
        <w:tblW w:w="9437" w:type="dxa"/>
        <w:jc w:val="left"/>
        <w:tblInd w:w="0" w:type="dxa"/>
        <w:tblLayout w:type="fixed"/>
        <w:tblCellMar>
          <w:top w:w="28" w:type="dxa"/>
          <w:left w:w="28" w:type="dxa"/>
          <w:bottom w:w="28" w:type="dxa"/>
          <w:right w:w="28" w:type="dxa"/>
        </w:tblCellMar>
      </w:tblPr>
      <w:tblGrid>
        <w:gridCol w:w="331"/>
        <w:gridCol w:w="9106"/>
      </w:tblGrid>
      <w:tr>
        <w:trPr/>
        <w:tc>
          <w:tcPr>
            <w:tcW w:w="331"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October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to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001-09769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Lands’ End, Inc.</w:t>
      </w:r>
    </w:p>
    <w:p>
      <w:pPr>
        <w:pStyle w:val="TextBody"/>
        <w:bidi w:val="0"/>
        <w:spacing w:before="0" w:after="10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36-2512786</w:t>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(State or other jurisdiction of </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(I.R.S. Employer </w:t>
              <w:br/>
              <w:t>Identification No.)</w:t>
            </w:r>
          </w:p>
        </w:tc>
      </w:tr>
    </w:tbl>
    <w:p>
      <w:pPr>
        <w:pStyle w:val="TextBody"/>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926"/>
        <w:gridCol w:w="146"/>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 Lands’ End Lane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Dodgeville, Wisconsin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53595</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(608) 935-9341</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15" w:type="dxa"/>
        <w:jc w:val="left"/>
        <w:tblInd w:w="0" w:type="dxa"/>
        <w:tblLayout w:type="fixed"/>
        <w:tblCellMar>
          <w:top w:w="28" w:type="dxa"/>
          <w:left w:w="28" w:type="dxa"/>
          <w:bottom w:w="28" w:type="dxa"/>
          <w:right w:w="28" w:type="dxa"/>
        </w:tblCellMar>
      </w:tblPr>
      <w:tblGrid>
        <w:gridCol w:w="3496"/>
        <w:gridCol w:w="146"/>
        <w:gridCol w:w="1621"/>
        <w:gridCol w:w="146"/>
        <w:gridCol w:w="370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is a shell company (as defined in Rule 12b-2 of the Act).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December 4, 2025, the registrant had 30,551,068 shares of common stock, $0.01 par value, outstanding.</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FOR THE PERIOD ENDED OCTOBER 31, 2025</w:t>
      </w:r>
    </w:p>
    <w:p>
      <w:pPr>
        <w:pStyle w:val="TextBody"/>
        <w:bidi w:val="0"/>
        <w:jc w:val="center"/>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 xml:space="preserve">TABLE OF </w:t>
      </w:r>
      <w:bookmarkStart w:id="3" w:name="table_contents"/>
      <w:bookmarkEnd w:id="3"/>
      <w:r>
        <w:rPr>
          <w:rFonts w:ascii="Times New Roman" w:hAnsi="Times New Roman"/>
          <w:b/>
          <w:color w:val="000000"/>
          <w:sz w:val="20"/>
        </w:rPr>
        <w:t>CONTENTS</w:t>
      </w:r>
    </w:p>
    <w:p>
      <w:pPr>
        <w:pStyle w:val="TextBody"/>
        <w:bidi w:val="0"/>
        <w:jc w:val="left"/>
        <w:rPr/>
      </w:pPr>
      <w:r>
        <w:rPr/>
        <w:t> </w:t>
      </w:r>
    </w:p>
    <w:tbl>
      <w:tblPr>
        <w:tblW w:w="8864" w:type="dxa"/>
        <w:jc w:val="left"/>
        <w:tblInd w:w="0" w:type="dxa"/>
        <w:tblLayout w:type="fixed"/>
        <w:tblCellMar>
          <w:top w:w="28" w:type="dxa"/>
          <w:left w:w="28" w:type="dxa"/>
          <w:bottom w:w="28" w:type="dxa"/>
          <w:right w:w="28" w:type="dxa"/>
        </w:tblCellMar>
      </w:tblPr>
      <w:tblGrid>
        <w:gridCol w:w="811"/>
        <w:gridCol w:w="7366"/>
        <w:gridCol w:w="146"/>
        <w:gridCol w:w="54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Condensed Consolidated Statements of Comprehensive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ose">
              <w:r>
                <w:rPr>
                  <w:rStyle w:val="InternetLink"/>
                  <w:rFonts w:ascii="Times New Roman" w:hAnsi="Times New Roman"/>
                  <w:color w:val="0000FF"/>
                  <w:sz w:val="20"/>
                  <w:u w:val="single"/>
                </w:rPr>
                <w:t>Condensed Consolidated Statements of Changes in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 FINANCIAL INFORMATION</w:t>
      </w:r>
    </w:p>
    <w:p>
      <w:pPr>
        <w:pStyle w:val="TextBody"/>
        <w:bidi w:val="0"/>
        <w:jc w:val="center"/>
        <w:rPr/>
      </w:pPr>
      <w:r>
        <w:rPr/>
        <w:t> </w:t>
      </w:r>
    </w:p>
    <w:p>
      <w:pPr>
        <w:pStyle w:val="TextBody"/>
        <w:bidi w:val="0"/>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LANDS’ END,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14"/>
        <w:gridCol w:w="146"/>
        <w:gridCol w:w="235"/>
        <w:gridCol w:w="872"/>
        <w:gridCol w:w="166"/>
        <w:gridCol w:w="146"/>
        <w:gridCol w:w="249"/>
        <w:gridCol w:w="927"/>
        <w:gridCol w:w="166"/>
        <w:gridCol w:w="146"/>
        <w:gridCol w:w="235"/>
        <w:gridCol w:w="872"/>
        <w:gridCol w:w="166"/>
        <w:gridCol w:w="146"/>
        <w:gridCol w:w="320"/>
        <w:gridCol w:w="1184"/>
        <w:gridCol w:w="215"/>
      </w:tblGrid>
      <w:tr>
        <w:trPr/>
        <w:tc>
          <w:tcPr>
            <w:tcW w:w="4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October 31,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November 1, </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October 31,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921,272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(exclusive of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469,262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452,010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403,787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98"/>
        <w:gridCol w:w="146"/>
        <w:gridCol w:w="354"/>
        <w:gridCol w:w="963"/>
        <w:gridCol w:w="166"/>
        <w:gridCol w:w="146"/>
        <w:gridCol w:w="439"/>
        <w:gridCol w:w="1001"/>
        <w:gridCol w:w="166"/>
        <w:gridCol w:w="146"/>
        <w:gridCol w:w="333"/>
        <w:gridCol w:w="998"/>
        <w:gridCol w:w="166"/>
        <w:gridCol w:w="146"/>
        <w:gridCol w:w="319"/>
        <w:gridCol w:w="1121"/>
        <w:gridCol w:w="397"/>
      </w:tblGrid>
      <w:tr>
        <w:trPr/>
        <w:tc>
          <w:tcPr>
            <w:tcW w:w="3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(11,948</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bookmarkStart w:id="8" w:name="condensed_consolidated_balance_sheets"/>
      <w:bookmarkEnd w:id="8"/>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44"/>
        <w:gridCol w:w="146"/>
        <w:gridCol w:w="283"/>
        <w:gridCol w:w="1130"/>
        <w:gridCol w:w="166"/>
        <w:gridCol w:w="146"/>
        <w:gridCol w:w="296"/>
        <w:gridCol w:w="1182"/>
        <w:gridCol w:w="166"/>
        <w:gridCol w:w="146"/>
        <w:gridCol w:w="230"/>
        <w:gridCol w:w="855"/>
        <w:gridCol w:w="615"/>
      </w:tblGrid>
      <w:tr>
        <w:trPr/>
        <w:tc>
          <w:tcPr>
            <w:tcW w:w="4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31,</w:t>
              <w:b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265,132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370,480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765,481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111,353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Lease liability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98,736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227,623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borrowings under ABL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224,888</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20,007</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526,259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par value $0.01 authorized: 480,000 shares;</w:t>
              <w:br/>
              <w:t>   issued and outstanding: 30,552, 31,023 and 30,843,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349,940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(94,358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239,222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765,481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877"/>
        <w:gridCol w:w="146"/>
        <w:gridCol w:w="297"/>
        <w:gridCol w:w="1100"/>
        <w:gridCol w:w="166"/>
        <w:gridCol w:w="146"/>
        <w:gridCol w:w="324"/>
        <w:gridCol w:w="1137"/>
        <w:gridCol w:w="1012"/>
      </w:tblGrid>
      <w:tr>
        <w:trPr/>
        <w:tc>
          <w:tcPr>
            <w:tcW w:w="5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25,850</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Long-lived asset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(33,899</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Other operating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Other operating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(12,212</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(22,142</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(22,122</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borrowings under ABL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93,000</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of borrowings under ABL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(9,750</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for 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and retirement of common stock, including excise tax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(8,857</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39,394</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w:t>
              <w:br/>
              <w: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27,290</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32,313</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Unpaid liability to acquire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(refunded)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27,598</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right-of-use-assets (reversal)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39 weeks ended October 31, 2025</w:t>
      </w:r>
    </w:p>
    <w:p>
      <w:pPr>
        <w:pStyle w:val="TextBody"/>
        <w:bidi w:val="0"/>
        <w:jc w:val="center"/>
        <w:rPr>
          <w:rFonts w:ascii="Times New Roman" w:hAnsi="Times New Roman"/>
          <w:b/>
          <w:color w:val="000000"/>
          <w:sz w:val="20"/>
        </w:rPr>
      </w:pPr>
      <w:bookmarkStart w:id="10" w:name="condensed_consolidated_sose"/>
      <w:bookmarkEnd w:id="10"/>
      <w:r>
        <w:rPr>
          <w:rFonts w:ascii="Times New Roman" w:hAnsi="Times New Roman"/>
          <w:b/>
          <w:color w:val="000000"/>
          <w:sz w:val="20"/>
        </w:rPr>
        <w:t>(Unaudited)</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19"/>
        <w:gridCol w:w="146"/>
        <w:gridCol w:w="148"/>
        <w:gridCol w:w="610"/>
        <w:gridCol w:w="168"/>
        <w:gridCol w:w="148"/>
        <w:gridCol w:w="236"/>
        <w:gridCol w:w="455"/>
        <w:gridCol w:w="166"/>
        <w:gridCol w:w="146"/>
        <w:gridCol w:w="196"/>
        <w:gridCol w:w="691"/>
        <w:gridCol w:w="166"/>
        <w:gridCol w:w="146"/>
        <w:gridCol w:w="217"/>
        <w:gridCol w:w="834"/>
        <w:gridCol w:w="166"/>
        <w:gridCol w:w="146"/>
        <w:gridCol w:w="278"/>
        <w:gridCol w:w="938"/>
        <w:gridCol w:w="166"/>
        <w:gridCol w:w="146"/>
        <w:gridCol w:w="233"/>
        <w:gridCol w:w="826"/>
        <w:gridCol w:w="214"/>
      </w:tblGrid>
      <w:tr>
        <w:trPr/>
        <w:tc>
          <w:tcPr>
            <w:tcW w:w="2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Issued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30,843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239,222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related to net share</w:t>
              <w:br/>
              <w:t>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and retirement of common stock, including excise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May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30,635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230,140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related to net share</w:t>
              <w:br/>
              <w: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and retirement of common stock, including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August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225,124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related to net share</w:t>
              <w:br/>
              <w:t>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and retirement of common stock, including excise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October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30,552</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231,016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39 weeks ended November 1, 2024</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9"/>
        <w:gridCol w:w="146"/>
        <w:gridCol w:w="148"/>
        <w:gridCol w:w="610"/>
        <w:gridCol w:w="168"/>
        <w:gridCol w:w="148"/>
        <w:gridCol w:w="236"/>
        <w:gridCol w:w="455"/>
        <w:gridCol w:w="166"/>
        <w:gridCol w:w="146"/>
        <w:gridCol w:w="196"/>
        <w:gridCol w:w="691"/>
        <w:gridCol w:w="166"/>
        <w:gridCol w:w="146"/>
        <w:gridCol w:w="217"/>
        <w:gridCol w:w="834"/>
        <w:gridCol w:w="166"/>
        <w:gridCol w:w="146"/>
        <w:gridCol w:w="278"/>
        <w:gridCol w:w="938"/>
        <w:gridCol w:w="166"/>
        <w:gridCol w:w="146"/>
        <w:gridCol w:w="233"/>
        <w:gridCol w:w="826"/>
        <w:gridCol w:w="214"/>
      </w:tblGrid>
      <w:tr>
        <w:trPr/>
        <w:tc>
          <w:tcPr>
            <w:tcW w:w="2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Issued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February 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31,433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241,593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related to net share</w:t>
              <w:br/>
              <w:t>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May 3,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31,407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234,601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related to net share</w:t>
              <w:br/>
              <w: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and retirement of common stock, including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August 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226,514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related to net share</w:t>
              <w:br/>
              <w:t>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and retirement of common stock, including excise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November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31,023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351,940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223,643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LANDS’ END, INC.</w:t>
      </w:r>
    </w:p>
    <w:p>
      <w:pPr>
        <w:pStyle w:val="TextBody"/>
        <w:bidi w:val="0"/>
        <w:jc w:val="center"/>
        <w:rPr>
          <w:rFonts w:ascii="Times New Roman" w:hAnsi="Times New Roman"/>
          <w:b/>
          <w:color w:val="000000"/>
          <w:sz w:val="20"/>
        </w:rPr>
      </w:pPr>
      <w:bookmarkStart w:id="11" w:name="notes_to_condensed_consolidated_financia"/>
      <w:bookmarkEnd w:id="11"/>
      <w:r>
        <w:rPr>
          <w:rFonts w:ascii="Times New Roman" w:hAnsi="Times New Roman"/>
          <w:b/>
          <w:color w:val="000000"/>
          <w:sz w:val="20"/>
        </w:rPr>
        <w:t>NOTES TO CONDENSED CONSOLIDATED FINANCIAL STATEMENTS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 BACKGROUND AND BASIS OF PRESENTATION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Lands’ End, Inc. (“Lands’ End” or the “Company”) is a leading digital retailer of solution-based apparel, swimwear, outerwear, accessories, footwear, home products and uniforms. Lands’ End offers products online at </w:t>
      </w:r>
      <w:r>
        <w:rPr>
          <w:rFonts w:ascii="Times New Roman" w:hAnsi="Times New Roman"/>
          <w:i/>
          <w:color w:val="000000"/>
          <w:sz w:val="20"/>
        </w:rPr>
        <w:t>www.landsend.com</w:t>
      </w:r>
      <w:r>
        <w:rPr>
          <w:rFonts w:ascii="Times New Roman" w:hAnsi="Times New Roman"/>
          <w:color w:val="000000"/>
          <w:sz w:val="20"/>
        </w:rPr>
        <w:t xml:space="preserve">, through third-party distribution channels, its own Company Operated stores and third-party license agreements. Lands’ End also offers products to businesses and schools, for their employees and students, through the Outfitters distribution channel. Lands’ End is a classic American lifestyle brand that creates solutions for life’s every journey. References to </w:t>
      </w:r>
      <w:r>
        <w:rPr>
          <w:rFonts w:ascii="Times New Roman" w:hAnsi="Times New Roman"/>
          <w:i/>
          <w:color w:val="000000"/>
          <w:sz w:val="20"/>
        </w:rPr>
        <w:t>www.landsend.com</w:t>
      </w:r>
      <w:r>
        <w:rPr>
          <w:rFonts w:ascii="Times New Roman" w:hAnsi="Times New Roman"/>
          <w:color w:val="000000"/>
          <w:sz w:val="20"/>
        </w:rPr>
        <w:t xml:space="preserve"> do not constitute incorporation by reference of the information at </w:t>
      </w:r>
      <w:r>
        <w:rPr>
          <w:rFonts w:ascii="Times New Roman" w:hAnsi="Times New Roman"/>
          <w:i/>
          <w:color w:val="000000"/>
          <w:sz w:val="20"/>
        </w:rPr>
        <w:t>www.landsend.com</w:t>
      </w:r>
      <w:r>
        <w:rPr>
          <w:rFonts w:ascii="Times New Roman" w:hAnsi="Times New Roman"/>
          <w:color w:val="000000"/>
          <w:sz w:val="20"/>
        </w:rPr>
        <w:t>, and such information is not part of this Quarterly Report on Form 10-Q or any other filings with the SEC, unless otherwise explicitly stated.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Terms that are commonly used in the Company’s Notes to Condensed Consolidated Financial Statements are defined as follows: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ABL Facility – Asset-based senior secured credit agreement, providing for a revolving facility, dated as of November 16, 2017, with Wells Fargo Bank, N.A. and certain other lenders, as amended to date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ASC – Financial Accounting Standards Board Accounting Standards Codification, which serves as the source for authoritative GAAP, as supplemented by rules and interpretive releases by the SEC which are also sources of authoritative GAAP for SEC registrants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Company Operated stores – Lands’ End retail stores in the Retail distribution channel</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Debt Facilities – Collectively, the Term Loan Facility and ABL Facility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Deferred Awards – Time vesting stock awards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FASB – Financial Accounting Standards Board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Fiscal 2025 – The 52 weeks ending January 30, 2026</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Fiscal 2024 – The 52 weeks ended January 31,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GAAP – Accounting principles generally accepted in the United States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Option Awards – Stock option awards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Performance Awards – Performance-based stock awards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SEC – United States Securities and Exchange Commission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SOFR – Secured Overnight Funding Rate</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Target Shares – Number of restricted stock units awarded to a recipient which reflects the number of shares to be delivered based on achievement of target performance goals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Term Loan Adjusted SOFR – SOFR plus adjustments of either (a) 0.11448% for a one-month interest period, (b) 0.26161% for a three-month interest period, or (c) 0.42826% for a six-month interest period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Term Loan Facility – Term loan credit agreement, dated as of December 29, 2023, among the Company, Blue Torch Capital, as Administrative Agent and Collateral Agent, and the lenders party thereto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Year-to-Date 2025 – The 39 weeks ended October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Condensed Consolidated Financial Statements include the accounts of Lands’ End, Inc. and its subsidiaries. All intercompany transactions and balances have been eliminated.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GAAP for interim financial information and with the instructions to Form 10-Q and Article 10 of Regulation S-X. Accordingly, they do not include all of the information and footnotes required by GAAP for complete financial statements. In the opinion of management, all material adjustments which are of a normal and recurring nature necessary for a fair presentation of the results for the periods presented have been reflected. Dollar amounts are reported in thousands, except per share data, unless otherwise noted. Interim results are not necessarily indicative of results for a full year. The information included in this Form 10-Q should be read in conjunction with information included in the Lands’ End Annual Report on Form 10-K filed with the SEC on March 27,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Macroeconomic Challenges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Macroeconomic issues which impact consumer discretionary spending, such as realized inflation-based price increases and high interest rates have continued to have an impact on the Company’s business. Apparel purchases historically have been influenced by domestic and global economic conditions, which may negatively impact customer demand and may require higher levels of promotion in order to attract and retain customers. Additionally, the variable interest rates associated with the Company’s Debt Facilities are negatively affected by higher interest rate environments. Macroeconomic challenges may lead to increased cost of raw materials, packaging materials, labor, energy, fuel, debt and other inputs necessary for the production and distribution of the Company’s products. Ongoing uncertainty surrounding global trade policy, including ongoing and potential tariff increases on goods manufactured in key sourcing regions, have elevated and could further elevate product costs. The Company is monitoring these developments and is actively pursuing mitigation strategies, but escalating trade tensions may pressure margins and disrupt supply chain efficiency.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Restructuring and Other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incurred restructuring and other charges related to cost optimization of business operations and exploring strategic alternatives. During Year-to-Date 2025, the Company incurred ongoing costs related to exploring strategic alternatives for the Company to maximize shareholder value and has included those costs as part of restructuring and other. Additionally, the Company reduced approximately 6% of its corporate office positions and incurred restructuring charges, primarily severance and benefit and other related costs. The reductions in the corporate office positions were made to better align with the evolving needs of the business and to invest in key growth areas.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restructuring and other costs recognized in Other operating expense, net in the Condensed Consolidated Statement of Operations for the 13 and 39 weeks ended October 31, 2025 and November 1,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27"/>
        <w:gridCol w:w="146"/>
        <w:gridCol w:w="391"/>
        <w:gridCol w:w="1067"/>
        <w:gridCol w:w="166"/>
        <w:gridCol w:w="146"/>
        <w:gridCol w:w="420"/>
        <w:gridCol w:w="1142"/>
        <w:gridCol w:w="146"/>
        <w:gridCol w:w="146"/>
        <w:gridCol w:w="391"/>
        <w:gridCol w:w="1067"/>
        <w:gridCol w:w="146"/>
        <w:gridCol w:w="146"/>
        <w:gridCol w:w="420"/>
        <w:gridCol w:w="1142"/>
        <w:gridCol w:w="196"/>
      </w:tblGrid>
      <w:tr>
        <w:trPr/>
        <w:tc>
          <w:tcPr>
            <w:tcW w:w="2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severance and benefit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alternatives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accrued restructuring and other cost activity included in Accrued expenses and other current liabilities in the Condensed Consolidated Balance Sheets: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620"/>
        <w:gridCol w:w="1862"/>
        <w:gridCol w:w="166"/>
        <w:gridCol w:w="146"/>
        <w:gridCol w:w="630"/>
        <w:gridCol w:w="1894"/>
        <w:gridCol w:w="166"/>
        <w:gridCol w:w="146"/>
        <w:gridCol w:w="540"/>
        <w:gridCol w:w="1620"/>
        <w:gridCol w:w="214"/>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Employee Severance and Benefit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Strategic Alternatives and Other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Restructuring and Other</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costs payable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May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costs payable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August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costs payable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October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2. RECENTLY ISSUED ACCOUNTING PRONOUNCEMENTS NOT YET ADOPTED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September 2025, the FASB issued Accounting Standards Update (ASU)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xml:space="preserve"> which modernizes the accounting for internal-use software to current development practices, clarifies when to begin capitalizing costs and enhances disclosure requirements. This update is effective for interim and annual periods beginning after December 15, 2027, with early adoption permitted</w:t>
      </w:r>
      <w:r>
        <w:rPr>
          <w:rFonts w:ascii="Times New Roman" w:hAnsi="Times New Roman"/>
          <w:i/>
          <w:color w:val="000000"/>
          <w:sz w:val="20"/>
        </w:rPr>
        <w:t>.</w:t>
      </w:r>
      <w:r>
        <w:rPr>
          <w:rFonts w:ascii="Times New Roman" w:hAnsi="Times New Roman"/>
          <w:color w:val="000000"/>
          <w:sz w:val="20"/>
        </w:rPr>
        <w:t xml:space="preserve"> The Company is currently assessing the impact of ASU 2025-06 on the Company’s Condensed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July 2025, the FASB issued Accounting Standards Update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which provides targeted relief for entities estimating expected credit losses on short-term receivables and contract assets under Topic 606. The guidance allows entities to bypass the requirement to incorporate macroeconomic data into their forecasts when such data is not expected to materially affect the estimate. ASU 2025-05 is effective for the annual periods beginning after December 15, 2025. The Company is currently assessing the impact of ASU 2025-05 on the Company’s Condensed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Under ASU 2024-03, a public entity is required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retrospectively to any or all prior periods presented in the financial statements. The Company is currently assessing the impact of ASU 2024-03 on the Company’s Condensed Consolidated Financial Statement disclosures.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w:t>
      </w:r>
      <w:r>
        <w:rPr>
          <w:rFonts w:ascii="Times New Roman" w:hAnsi="Times New Roman"/>
          <w:color w:val="000000"/>
          <w:sz w:val="20"/>
        </w:rPr>
        <w:t xml:space="preserve"> (“ASU 2023-09”), which includes requirements that an entity disclose specific categories in the rate reconciliation table and provide additional information for reconciling items that are greater than five percent of the amount computed by multiplying pretax income (or loss) by the applicable statutory income tax rate. The standard also requires that entities disclose income (or loss) from continuing operations before income tax expense (or benefit) and income tax expense (or benefit) each disaggregated between domestic and foreign. ASU 2023-09 is effective for the annual periods beginning after December 15, 2024. The Company is currently assessing the impact of ASU 2023-09 on the Company’s Condensed Consolidated Financial Statement disclosures.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EARNINGS (LOSS) PER SHARE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numerator for both basic and diluted earnings (loss) per share is net income (loss) attributable to the Company. The denominator for basic earnings (loss) per share is based upon the number of weighted average shares of the Company’s common stock outstanding during the reporting periods. The denominator for diluted earnings (loss) per share is based upon the number of weighted average shares of the Company’s common stock and common stock equivalents outstanding during the reporting periods using the treasury stock method in accordance with </w:t>
      </w:r>
      <w:r>
        <w:rPr>
          <w:rFonts w:ascii="Times New Roman" w:hAnsi="Times New Roman"/>
          <w:i/>
          <w:color w:val="000000"/>
          <w:sz w:val="20"/>
        </w:rPr>
        <w:t>ASC 260, Earnings Per Share</w:t>
      </w:r>
      <w:r>
        <w:rPr>
          <w:rFonts w:ascii="Times New Roman" w:hAnsi="Times New Roman"/>
          <w:color w:val="000000"/>
          <w:sz w:val="20"/>
        </w:rPr>
        <w:t>. Potentially dilutive securities for the diluted earnings (loss) per share calculations consist of non-vested equity shares of common stock and in-the-money outstanding options where the current stock price exceeds the option strike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components of basic and diluted earnings (loss) per share: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20"/>
        <w:gridCol w:w="146"/>
        <w:gridCol w:w="280"/>
        <w:gridCol w:w="898"/>
        <w:gridCol w:w="146"/>
        <w:gridCol w:w="146"/>
        <w:gridCol w:w="302"/>
        <w:gridCol w:w="974"/>
        <w:gridCol w:w="166"/>
        <w:gridCol w:w="146"/>
        <w:gridCol w:w="280"/>
        <w:gridCol w:w="898"/>
        <w:gridCol w:w="166"/>
        <w:gridCol w:w="146"/>
        <w:gridCol w:w="283"/>
        <w:gridCol w:w="993"/>
        <w:gridCol w:w="415"/>
      </w:tblGrid>
      <w:tr>
        <w:trPr/>
        <w:tc>
          <w:tcPr>
            <w:tcW w:w="3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8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31,317</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impact of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31,317</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earnings (loss) per common share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Stock awards are considered anti-dilutive based on the application of the treasury stock method or in the event of a net loss.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4. OTHER COMPREHENSIVE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comprehensive income (loss) encompasses all changes in equity other than those arising from transactions with stockholders and is comprised solely of foreign currency translation adjustments. The Company’s foreign subsidiaries use their foreign currency as their functional currency. Functional currency assets and liabilities are translated into U.S. Dollars using exchange rates in effect at the balance sheet date, and revenues and expenses are translated at average exchange rates during the period. Resulting translation gains and losses are reported in other comprehensive income (loss), until the substantial liquidation of a subsidiary, at which time accumulated translation gains or losses are reclassified into net income (loss).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11"/>
        <w:gridCol w:w="146"/>
        <w:gridCol w:w="256"/>
        <w:gridCol w:w="894"/>
        <w:gridCol w:w="166"/>
        <w:gridCol w:w="146"/>
        <w:gridCol w:w="268"/>
        <w:gridCol w:w="941"/>
        <w:gridCol w:w="166"/>
        <w:gridCol w:w="146"/>
        <w:gridCol w:w="256"/>
        <w:gridCol w:w="894"/>
        <w:gridCol w:w="166"/>
        <w:gridCol w:w="146"/>
        <w:gridCol w:w="268"/>
        <w:gridCol w:w="941"/>
        <w:gridCol w:w="594"/>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Accumulated other comprehensive loss</w:t>
              <w:br/>
              <w:t xml:space="preserve">      (net of tax of $4,183, $3,989, $4,234 and $4,271, </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adjustments (net of tax of $100, $192, $49 and $(90), respectively)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Accumulated other comprehensive loss</w:t>
              <w:br/>
              <w:t xml:space="preserve">      (net of tax of $4,283, $4,181, $4,283 and $4,181, </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(15,731</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amounts were reclassified out of Accumulated other comprehensive loss during any of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5. DEBT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ABL Facility</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$225.0 million committed revolving ABL Facility, as amended to date, includes a $35.0 million sublimit for letters of credit and is available for working capital and other general corporate liquidity needs. The amount available to borrow is the lesser of (1) the Aggregate Commitments of $225.0 million or (2) the Borrowing Base or Loan Cap which is calculated from Eligible Inventory, Trade Receivables and Credit Card Receivables, all foregoing capitalized terms not defined herein are as defined in the ABL Facility.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Company’s ABL Facility borrowing availability: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10"/>
        <w:gridCol w:w="146"/>
        <w:gridCol w:w="211"/>
        <w:gridCol w:w="781"/>
        <w:gridCol w:w="146"/>
        <w:gridCol w:w="146"/>
        <w:gridCol w:w="1053"/>
        <w:gridCol w:w="146"/>
        <w:gridCol w:w="211"/>
        <w:gridCol w:w="781"/>
        <w:gridCol w:w="146"/>
        <w:gridCol w:w="146"/>
        <w:gridCol w:w="1053"/>
        <w:gridCol w:w="146"/>
        <w:gridCol w:w="211"/>
        <w:gridCol w:w="781"/>
        <w:gridCol w:w="146"/>
        <w:gridCol w:w="146"/>
        <w:gridCol w:w="1099"/>
      </w:tblGrid>
      <w:tr>
        <w:trPr/>
        <w:tc>
          <w:tcPr>
            <w:tcW w:w="2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31, 2025</w:t>
            </w:r>
          </w:p>
        </w:tc>
      </w:tr>
      <w:tr>
        <w:trPr/>
        <w:tc>
          <w:tcPr>
            <w:tcW w:w="2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r>
      <w:tr>
        <w:trPr/>
        <w:tc>
          <w:tcPr>
            <w:tcW w:w="2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Facility limit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 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letters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Facility utilization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Facility borrowing availability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with the Fifth Amendment to the ABL Facility, dated March 28, 2025 (the “Fifth Amendment”), a 0.10% adjustment to the SOFR benchmark interest rate was eliminated and the benchmark rates under the ABL Credit Agreement are, at the election of the Company, either: (1) Term SOFR (which is a forward looking term rate based on the secured overnight financing rate), or (2) a Base Rate (which is the greatest of (a) 0% per annum, (b) the federal funds rate plus 0.50%, (c) the one-month Term SOFR rate plus 1.00%, or (d) the Wells Fargo “prime rate”). The borrowing margin for SOFR Rate loans is (i) where the average daily total outstanding for the previous quarter is less than $95.0 million, 1.50%, and (ii) where the average daily total outstanding for the previous quarter is equal to or greater than $95.0 million, 1.75%. For Base Rate loans, the borrowing margin is (i) where the average daily total outstanding for the previous quarter is less than $95.0 million, 0.75%, and (ii) where the average daily total outstanding for the previous quarter is equal to or greater than $95.0 million, 1.00% (“Applicable Borrowing Margin”). The Applicable Borrowing Margin for all loans is based upon the average daily total loans outstanding for the previous quarter. The Fifth Amendment reduced aggregate commitments from $275 million to $225 million, and reduced the letter of credit sublimit from $70 million to $35 million, in line with the Company’s lower inventory levels and expected letter of credit capacity, and had no material interest rate impact.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ABL Facility fees include (i) commitment fees of 0.20% or 0.30% based upon the average daily unused commitment (aggregate commitment less loans and letter of credit outstanding) under the ABL Facility for the preceding fiscal quarter, (ii) customary letter of credit fees and (iii) customary annual agent fees. The Fifth Amendment extended the maturity date of the ABL Facility to the earlier of (a) March 28, 2030 and (b) September 29, 2028 if, on or prior to such date, the Term Loan Facility has not been refinanced, extended or repaid in full in accordance with the terms thereof and not replaced with other indebtedness. Under applicable accounting guidance, certain unamortized debt issuance costs originating from the ABL Facility are deferred and amortized over the extended term of the ABL Facility, and certain unamortized debt issuance costs have been written off. As of October 31, 2025, the Company had $75.0 million borrowings outstanding under the ABL Facility.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 Loan Facility will mature on December 29, 2028, and amortizes at a rate equal to 1.25% per quarter. Depending upon the Company’s Total Leverage Ratio, as defined in the Term Loan Facility, mandatory prepayments in an amount equal to a percentage of the Company’s excess cash flows in each fiscal year, ranging from 0% to 75% are required. The Term Loan Facility also has typical prepayment requirements for the proceeds of certain asset sales, casualty events and extraordinary receipts. Voluntary prepayment and certain mandatory prepayments made (i) between December 30, 2024 and December 29, 2025 would result in a prepayment premium equal to 2% of the principal amount of the loan prepaid, (ii) between December 30, 2025 and December 29, 2026, would result in a prepayment premium equal to 1% of the principal amount of the loan prepaid, (iii) between December 30, 2026 and December 29, 2027, would result in a prepayment premium equal to 0.5% of the principal amount of the loan prepaid and (iv) thereafter no prepayment premium is due.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long-term debt consisted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67"/>
        <w:gridCol w:w="146"/>
        <w:gridCol w:w="211"/>
        <w:gridCol w:w="781"/>
        <w:gridCol w:w="146"/>
        <w:gridCol w:w="146"/>
        <w:gridCol w:w="1067"/>
        <w:gridCol w:w="146"/>
        <w:gridCol w:w="211"/>
        <w:gridCol w:w="781"/>
        <w:gridCol w:w="146"/>
        <w:gridCol w:w="146"/>
        <w:gridCol w:w="1067"/>
        <w:gridCol w:w="146"/>
        <w:gridCol w:w="211"/>
        <w:gridCol w:w="781"/>
        <w:gridCol w:w="146"/>
        <w:gridCol w:w="146"/>
        <w:gridCol w:w="1114"/>
      </w:tblGrid>
      <w:tr>
        <w:trPr/>
        <w:tc>
          <w:tcPr>
            <w:tcW w:w="2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31, 2025</w:t>
            </w:r>
          </w:p>
        </w:tc>
      </w:tr>
      <w:tr>
        <w:trPr/>
        <w:tc>
          <w:tcPr>
            <w:tcW w:w="2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r>
      <w:tr>
        <w:trPr/>
        <w:tc>
          <w:tcPr>
            <w:tcW w:w="2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12.66%</w:t>
            </w:r>
          </w:p>
        </w:tc>
      </w:tr>
      <w:tr>
        <w:trPr/>
        <w:tc>
          <w:tcPr>
            <w:tcW w:w="2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interest rates per annum applicable to the loans under the Term Loan Facility are based on a fluctuating rate of interest equal to, at the Company’s election, either (1) Term Loan Adjusted SOFR loan (subject to a 2% floor) plus an applicable margin, or (2) an alternative base rate loan plus an applicable margin. The applicable margin is based on the Company’s net leverage and will be, (i) for Term Loan Adjusted SOFR loans, 8.25% per annum if the total leverage ratio is greater than or equal to 2.75:1.00, 8.00% per annum if the total leverage ratio is less than 2.75:1.00 but greater than or equal to 2.25:1.00, and 7.75% per annum if the total leverage ratio is less than 2.25:1.00 and (ii) for base rate loans, 7.25% per annum if the total leverage ratio is greater than or equal to 2.75:1.00, 7.00% per annum if the total leverage ratio is less than 2.75:1.00 but greater than or equal to 2.25:1.00, and 6.75% per annum if the total leverage ratio is less than 2.25:1.00. In each case, the net leverage is determined as of the last day of each applicable measurement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Term Loan Facility contains customary agency fees.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Debt Facilities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Guarantees; Security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obligations under the Debt Facilities are unconditionally guaranteed by Lands’ End, Inc. and, subject to certain exceptions, each of its existing and future direct and indirect subsidiaries. The ABL Facility is secured by a first priority security interest in certain working capital of the borrowers and guarantors consisting primarily of accounts receivable and inventory. The Term Loan Facility is also secured by a second priority security interest in the same collateral, with certain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Loan Facility is also secured by a first priority security interest in certain property and assets, including certain fixed assets such as real estate, stock of subsidiaries and intellectual property, in each case, subject to certain exceptions. The ABL Facility is also secured by a second priority interest in the same collateral, with certain exceptions.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Representations and Warranties; Covenants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specified exceptions, the Debt Facilities contain various representations and warranties and restrictive covenants that, among other things, restrict Lands’ End, Inc.’s and its subsidiaries’ ability to incur indebtedness (including guarantees), grant liens, make investments, make dividends or distributions with respect to capital stock, make prepayments on other indebtedness, engage in mergers or change the nature of their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 Loan Facility contains financial covenants, including a quarterly maximum total leverage ratio test and a monthly minimum liquidity test.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ABL Facility, if excess availability falls below the greater of 10% of the Loan Cap amount or $12.0 million, the Company will be required to comply with a minimum fixed charge coverage ratio of 1.0 to 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Debt Facilities contain certain affirmative covenants, including reporting requirements such as delivery of financial statements, certificates and notices of certain events, maintaining insurance and providing additional guarantees and collateral in certain circumstances.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October 31, 2025, the Company was in compliance with its financial covenants in the Debt Facilities.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Events of Default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Debt Facilities include customary events of default including non-payment of principal, interest or fees, violation of covenants, inaccuracy of representations or warranties, cross defaults related to certain other material indebtedness, bankruptcy and insolvency events, invalidity or impairment of guarantees or security interests, material judgments and change of control.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6. STOCK-BASED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expenses the fair value of all stock awards over their requisite service period, ensuring that the amount of cumulative stock-based compensation expense recognized at any date is at least equal to the portion of the grant-date fair value of the award that is vested at that date. The Company has elected to adjust stock-based compensation expense for an estimated forfeiture rate for those shares not expected to vest and to recognize stock-based compensation expense on a straight-line basis for awards that only have a service requirement with multiple vest 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granted the following types of stock awards to employees at management levels and above, each of which are granted under the Company’s stockholder approved stock plans, other than inducement grants outside of the Company’s stockholder approved stock plans in accordance with Nasdaq Listing Rule 5635(c)(4):</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Awards are in the form of restricted stock units and only require each recipient to complete a service period for the awards to be earned. Deferred Awards generally vest over three years. The fair value of Deferred Awards is based on the closing price of the Company’s common stock on the grant date. Stock-based compensation expense is recognized ratably over the service period and is reduced for estimated forfeitures of those awards not expected to vest due to employee turnover.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Performance Awards are in the form of restricted stock units and have, in addition to a service requirement, financial performance criteria, event criteria and/or stock performance criteria that must be achieved for the awards to be earned. For Performance Awards with financial performance criteria, the Target Shares earned can range from 50% to 200% (such result, the “Earned Shares”) once minimum thresholds have been reached and depend on the achievement of certain financial measures for the cumulative period comprised of three-consecutive fiscal years beginning with the fiscal year of the grant date. Performance Awards are also subject to limitations under the Company’s stockholder approved stock plans. The applicable percentage of the Target Shares, as determined by the applicable performance measure, vest after the completion of the applicable three-year</w:t>
      </w:r>
      <w:r>
        <w:rPr>
          <w:color w:val="000000"/>
        </w:rPr>
        <w:t xml:space="preserve"> </w:t>
      </w:r>
      <w:r>
        <w:rPr>
          <w:rFonts w:ascii="Times New Roman" w:hAnsi="Times New Roman"/>
          <w:color w:val="000000"/>
          <w:sz w:val="20"/>
        </w:rPr>
        <w:t>performance period and upon determination of achievement of the performance measures by the Compensation Committee of the Board of Directors. Unearned Target Shares are forfeited.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Performance Awards granted in Fiscal 2025 with event criteria, the award vests at 100% of the Target Shares upon the occurrence of the event within a specified amount of time, absent which the award expires unvested. For the Performance Awards granted in Fiscal 2025 and Fiscal 2024 with stock performance criteria, the Target Shares earned can range from 0% to 100% based on the Company’s highest average per share common stock closing price, measured over any 20 consecutive trading-day period from and after the date of grant and during the three-consecutive fiscal years beginning with the fiscal year of the grant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grant date fair value of the Performance Awards granted in Fiscal 2025 and Fiscal 2024 with financial performance criteria and event criteria, are based on the closing price of the Company’s common stock on the grant date. The grant date fair value for the Performance Awards granted in Fiscal 2025 and Fiscal 2024 with stock performance criteria are based on the Monte Carlo simulation model.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Stock-based compensation expense, including awards with market conditions, is recognized ratably over the related service period, reduced for estimated forfeitures of those awards not expected to vest due to employee turnover and adjusted based on the Company’s estimate of the percentage of the aggregate Target Shares expected to be earned. The Company accrues for Performance Awards on the basis of a 100% payout unless it becomes probable that the outcome will be significantly different, or the performance can be accurately measured. Stock-based compensation expense for awards with event criteria is not recognized until the event becomes probable.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Option Awards provide the recipient with the option to purchase a set number of shares at a stated exercise price over the term of the contract, which is ten years</w:t>
      </w:r>
      <w:r>
        <w:rPr>
          <w:color w:val="000000"/>
        </w:rPr>
        <w:t xml:space="preserve"> </w:t>
      </w:r>
      <w:r>
        <w:rPr>
          <w:rFonts w:ascii="Times New Roman" w:hAnsi="Times New Roman"/>
          <w:color w:val="000000"/>
          <w:sz w:val="20"/>
        </w:rPr>
        <w:t xml:space="preserve">for all Option Awards currently outstanding. Options are granted with a strike price equal to the stock price on the date of grant and vest over the requisite service period of the award. The fair value of each Option Award is estimated on the grant date using the Black-Scholes option pricing model.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the Company’s stock-based compensation expense, which is included in Selling and administrative expense in the Condensed Consolidated Statements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68"/>
        <w:gridCol w:w="146"/>
        <w:gridCol w:w="383"/>
        <w:gridCol w:w="1043"/>
        <w:gridCol w:w="146"/>
        <w:gridCol w:w="146"/>
        <w:gridCol w:w="413"/>
        <w:gridCol w:w="1121"/>
        <w:gridCol w:w="146"/>
        <w:gridCol w:w="146"/>
        <w:gridCol w:w="383"/>
        <w:gridCol w:w="1043"/>
        <w:gridCol w:w="146"/>
        <w:gridCol w:w="146"/>
        <w:gridCol w:w="413"/>
        <w:gridCol w:w="1121"/>
        <w:gridCol w:w="195"/>
      </w:tblGrid>
      <w:tr>
        <w:trPr/>
        <w:tc>
          <w:tcPr>
            <w:tcW w:w="3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Deferred Awards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the Deferred Awards activity for the 39 weeks ended October 31, 2025:</w:t>
      </w:r>
    </w:p>
    <w:p>
      <w:pPr>
        <w:pStyle w:val="TextBody"/>
        <w:bidi w:val="0"/>
        <w:jc w:val="both"/>
        <w:rPr/>
      </w:pPr>
      <w:r>
        <w:rPr/>
        <w:t> </w:t>
      </w:r>
    </w:p>
    <w:tbl>
      <w:tblPr>
        <w:tblW w:w="7805" w:type="dxa"/>
        <w:jc w:val="left"/>
        <w:tblInd w:w="0" w:type="dxa"/>
        <w:tblLayout w:type="fixed"/>
        <w:tblCellMar>
          <w:top w:w="28" w:type="dxa"/>
          <w:left w:w="28" w:type="dxa"/>
          <w:bottom w:w="28" w:type="dxa"/>
          <w:right w:w="28" w:type="dxa"/>
        </w:tblCellMar>
      </w:tblPr>
      <w:tblGrid>
        <w:gridCol w:w="4141"/>
        <w:gridCol w:w="146"/>
        <w:gridCol w:w="233"/>
        <w:gridCol w:w="772"/>
        <w:gridCol w:w="166"/>
        <w:gridCol w:w="146"/>
        <w:gridCol w:w="542"/>
        <w:gridCol w:w="1468"/>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Deferred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Deferred Awards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Deferred Awards as of October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unrecognized stock-based compensation expense related to unvested Deferred Awards was approximately $4.4 million as of October 31, 2025, which is expected to be recognized ratably over a weighted average period of 1.9 years. The total fair value of Deferred Awards vested during the 39 weeks ended October 31, 2025 and November 1, 2024 was $3.7 million and $4.1 million,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Performance Awards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the Performance Awards activity for the 39 weeks ended October 31, 2025:</w:t>
      </w:r>
    </w:p>
    <w:p>
      <w:pPr>
        <w:pStyle w:val="TextBody"/>
        <w:bidi w:val="0"/>
        <w:jc w:val="both"/>
        <w:rPr/>
      </w:pPr>
      <w:r>
        <w:rPr/>
        <w:t> </w:t>
      </w:r>
    </w:p>
    <w:tbl>
      <w:tblPr>
        <w:tblW w:w="8135" w:type="dxa"/>
        <w:jc w:val="left"/>
        <w:tblInd w:w="0" w:type="dxa"/>
        <w:tblLayout w:type="fixed"/>
        <w:tblCellMar>
          <w:top w:w="28" w:type="dxa"/>
          <w:left w:w="28" w:type="dxa"/>
          <w:bottom w:w="28" w:type="dxa"/>
          <w:right w:w="28" w:type="dxa"/>
        </w:tblCellMar>
      </w:tblPr>
      <w:tblGrid>
        <w:gridCol w:w="4456"/>
        <w:gridCol w:w="146"/>
        <w:gridCol w:w="204"/>
        <w:gridCol w:w="801"/>
        <w:gridCol w:w="174"/>
        <w:gridCol w:w="153"/>
        <w:gridCol w:w="542"/>
        <w:gridCol w:w="1468"/>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Awards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 - performance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Awards as of October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unrecognized stock-based compensation expense related to unvested Performance Awards was approximately $3.3 million as of October 31, 2025 which is expected to be recognized ratably over a weighted average period of 2.1 years. Additionally, total unrecognized stock-based compensation expense related to Performance Awards with event criteria was approximately $3.6 million, which is not expected to be recognized until the event is probable of occurring. The fair value of the 133,984 Performance Awards with stock performance criteria granted during the 39 weeks ended October 31, 2025 was estimated at $7.81 per share on the grant date using a Monte Carlo simulation.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Option Awards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the Option Awards activity for the 39 weeks ended October 31, 2025:</w:t>
      </w:r>
    </w:p>
    <w:p>
      <w:pPr>
        <w:pStyle w:val="TextBody"/>
        <w:bidi w:val="0"/>
        <w:jc w:val="both"/>
        <w:rPr/>
      </w:pPr>
      <w:r>
        <w:rPr/>
        <w:t> </w:t>
      </w:r>
    </w:p>
    <w:tbl>
      <w:tblPr>
        <w:tblW w:w="7875" w:type="dxa"/>
        <w:jc w:val="left"/>
        <w:tblInd w:w="0" w:type="dxa"/>
        <w:tblLayout w:type="fixed"/>
        <w:tblCellMar>
          <w:top w:w="28" w:type="dxa"/>
          <w:left w:w="28" w:type="dxa"/>
          <w:bottom w:w="28" w:type="dxa"/>
          <w:right w:w="28" w:type="dxa"/>
        </w:tblCellMar>
      </w:tblPr>
      <w:tblGrid>
        <w:gridCol w:w="4231"/>
        <w:gridCol w:w="146"/>
        <w:gridCol w:w="257"/>
        <w:gridCol w:w="748"/>
        <w:gridCol w:w="146"/>
        <w:gridCol w:w="146"/>
        <w:gridCol w:w="542"/>
        <w:gridCol w:w="1468"/>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Awards outstanding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Awards outstanding as of October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information about the Option Awards vested and expected to vest during the contractual term, as well as Option Awards exercisable, as of October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22"/>
        <w:gridCol w:w="146"/>
        <w:gridCol w:w="259"/>
        <w:gridCol w:w="750"/>
        <w:gridCol w:w="146"/>
        <w:gridCol w:w="146"/>
        <w:gridCol w:w="496"/>
        <w:gridCol w:w="1589"/>
        <w:gridCol w:w="146"/>
        <w:gridCol w:w="146"/>
        <w:gridCol w:w="269"/>
        <w:gridCol w:w="733"/>
        <w:gridCol w:w="146"/>
        <w:gridCol w:w="146"/>
        <w:gridCol w:w="522"/>
        <w:gridCol w:w="1047"/>
        <w:gridCol w:w="196"/>
      </w:tblGrid>
      <w:tr>
        <w:trPr/>
        <w:tc>
          <w:tcPr>
            <w:tcW w:w="3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contractual life and exercise price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Awards vested and expected to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Awards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unrecognized stock-based compensation expense related to Option Awards expected to vest was not material as of October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7. STOCKHOLDERS’ EQUITY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Share Repurchase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15, 2024, the Company announced that its Board of Directors authorized the Company to repurchase up to $25.0 million of the Company’s common stock through March 31, 2026 (the “2024 Share Repurchase Program”). Under the 2024 Share Repurchase Program, the Company may repurchase its common stock through open market purchases, in privately negotiated transactions, or by other means in accordance with federal securities laws, including Rule 10b-18 of the Exchange Act. The amount and timing of purchases will be determined by the Company’s management depending upon market conditions and other factors and may be made pursuant to a Rule 10b5-1 trading plan. The 2024 Share Repurchase Program may be suspended or discontinued at any time. As of October 31, 2025, additional purchases of up to $8.8 million could be made under the 2024 Share Repurchase Program. All repurchases are subject to compliance with the Term Loan Facility which imposes a per fiscal year limitation on share repurchases.</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Company’s share repurchases for the 13 and 39 weeks ended October 31, 2025 and November 1,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40"/>
        <w:gridCol w:w="146"/>
        <w:gridCol w:w="511"/>
        <w:gridCol w:w="841"/>
        <w:gridCol w:w="146"/>
        <w:gridCol w:w="146"/>
        <w:gridCol w:w="396"/>
        <w:gridCol w:w="1075"/>
        <w:gridCol w:w="146"/>
        <w:gridCol w:w="146"/>
        <w:gridCol w:w="363"/>
        <w:gridCol w:w="990"/>
        <w:gridCol w:w="146"/>
        <w:gridCol w:w="146"/>
        <w:gridCol w:w="396"/>
        <w:gridCol w:w="1075"/>
        <w:gridCol w:w="196"/>
      </w:tblGrid>
      <w:tr>
        <w:trPr/>
        <w:tc>
          <w:tcPr>
            <w:tcW w:w="3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(Shares and $ in thousands except average per share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per share cost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Average price paid per share excludes broker commissions and excise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retired all shares that were repurchased through the 2024 Share Repurchase Program during the 39 weeks ended October 31, 2025 and November 1, 2024. In accordance with FASB ASC 505—Equity, the par value of the shares retired was charged against Common stock and the remaining purchase price, including any broker commissions and excise taxes paid, was either (i)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allocated between Additional paid-in capital and Retained earnings, or (ii) charged directly against Additional paid-in capital. To the extent the shares are repurchased at a price less than that of initial issuance, or to the extent the Company does not have sufficient reserves in Retained earnings at the time of repurchase, the excess of the purchase price over par value is accounted for entirely as a deduction from Additional paid-in capital.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8. ACCRUED EXPENSES AND OTHER CURRENT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w:t>
      </w:r>
    </w:p>
    <w:p>
      <w:pPr>
        <w:pStyle w:val="TextBody"/>
        <w:bidi w:val="0"/>
        <w:jc w:val="both"/>
        <w:rPr/>
      </w:pPr>
      <w:r>
        <w:rPr/>
        <w:t> </w:t>
      </w:r>
    </w:p>
    <w:tbl>
      <w:tblPr>
        <w:tblW w:w="10027" w:type="dxa"/>
        <w:jc w:val="left"/>
        <w:tblInd w:w="0" w:type="dxa"/>
        <w:tblLayout w:type="fixed"/>
        <w:tblCellMar>
          <w:top w:w="28" w:type="dxa"/>
          <w:left w:w="28" w:type="dxa"/>
          <w:bottom w:w="28" w:type="dxa"/>
          <w:right w:w="28" w:type="dxa"/>
        </w:tblCellMar>
      </w:tblPr>
      <w:tblGrid>
        <w:gridCol w:w="4306"/>
        <w:gridCol w:w="146"/>
        <w:gridCol w:w="332"/>
        <w:gridCol w:w="1228"/>
        <w:gridCol w:w="146"/>
        <w:gridCol w:w="146"/>
        <w:gridCol w:w="351"/>
        <w:gridCol w:w="1299"/>
        <w:gridCol w:w="146"/>
        <w:gridCol w:w="146"/>
        <w:gridCol w:w="378"/>
        <w:gridCol w:w="1212"/>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gift card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sales returns and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sales and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9. FAIR VALUE MEASUREMENTS OF FINANCIAL ASSETS AND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Cash and cash equivalents and restricted cash is reflected on the Condensed Consolidated Balance Sheets at fair value based on Level 1 inputs. Cash and cash equivalents and restricted cash amounts are valued based upon statements received from financial institutions. The fair value of restricted cash was $0.7 million, $1.9 million and $2.6 million as of October 31, 2025, November 1, 2024 and January 31, 2025, respectively.</w:t>
      </w:r>
    </w:p>
    <w:p>
      <w:pPr>
        <w:pStyle w:val="TextBody"/>
        <w:bidi w:val="0"/>
        <w:jc w:val="both"/>
        <w:rPr>
          <w:rFonts w:ascii="Times New Roman" w:hAnsi="Times New Roman"/>
          <w:color w:val="000000"/>
          <w:sz w:val="20"/>
        </w:rPr>
      </w:pPr>
      <w:r>
        <w:rPr>
          <w:rFonts w:ascii="Times New Roman" w:hAnsi="Times New Roman"/>
          <w:color w:val="000000"/>
          <w:sz w:val="20"/>
        </w:rPr>
        <w:t>Carrying amounts and fair values of long-term debt, including current portion, in the Condensed Consolidated Balance Sheets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56"/>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781"/>
        <w:gridCol w:w="191"/>
      </w:tblGrid>
      <w:tr>
        <w:trPr/>
        <w:tc>
          <w:tcPr>
            <w:tcW w:w="2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including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valuation of long-term debt, including current portion, at fair value is considered a Level 3 instrument under the fair value hierarchy. The Company’s valuation techniques include the Black-Derman-Toy (“BDT”) model as well as market inputs from management. The BDT modeling approach is particularly relevant given the Term Loan Facility’s features, including the optional redemption provision. There were no nonfinancial assets or nonfinancial liabilities recognized at fair value on a nonrecurring basis as of October 31, 2025, November 1, 2024 and January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10. INCOME TAXES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end of each quarter, the Company estimates its effective income tax rate pursuant to ASC 740. The rate for the period consists of the tax rate expected to be applied for the full year to ordinary income adjusted for any discrete items recorded in the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tax expense at an overall effective tax rate of 30.2% for the 13 weeks ended October 31, 2025 and a tax benefit of 55.4% for the 13 weeks ended November 1, 2024. The Company recorded a tax benefit at an overall rate of 28.8% and 28.7% for the 39 weeks ended October 31, 2025 and November 1, 2024. The overall effective tax rate for the 13 and 39 weeks ended October 31, 2025, varies from the U.S. statutory rate of 21% as a result of state taxes and non-deductible expenses. The overall effective tax rate for the 13 and 39 weeks ended November 1, 2024, varies from the U.S. statutory rate of 21% as a result of state taxes, non-deductible expenses, the impacts of certain state audit closures, and stock-based compensation adjustments.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4, 2025 the One Big Beautiful Bill Act (H.R. 1) (“the OBBBA”) was signed into law. The OBBBA contains various changes to corporate taxation with varying effective dates, including (i) the reinstatement of 100% bonus depreciation, (ii) modifications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business interest deduction limitations, and (iii) taxation of foreign entities. The legislation did not have a material impact on the Company’s financial statements for the 13 and 39 weeks ended October 31, 2025.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11. COMMITMENTS AND CONTINGENCIES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such pending claims, proceedings and investigations with certainty, management is of the opinion that their ultimate resolution should not have a material adverse effect on results of operations, cash flows or financial position taken as a whole.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12.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identifies operating segments according to how business activities are managed and evaluated. Following internal organizational changes and realignment of distribution channel responsibilities in Fourth Quarter 2024, the Company’s operating segments consisted of: U.S. eCommerce, Europe eCommerce, Outfitters, Third Party, Licensing and Retail. Beginning Fourth Quarter 2024, the Wholesale business is included in Licensing and prior periods were recast to reflect the change in operating segments for comparability purposes.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U.S. eCommerce</w:t>
      </w:r>
      <w:r>
        <w:rPr>
          <w:color w:val="000000"/>
        </w:rPr>
        <w:t xml:space="preserve"> </w:t>
      </w:r>
      <w:r>
        <w:rPr>
          <w:rFonts w:ascii="Times New Roman" w:hAnsi="Times New Roman"/>
          <w:color w:val="000000"/>
          <w:sz w:val="20"/>
        </w:rPr>
        <w:t xml:space="preserve">offers products through the Company’s eCommerce website.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Europe eCommerc</w:t>
      </w:r>
      <w:r>
        <w:rPr>
          <w:rFonts w:ascii="Times New Roman" w:hAnsi="Times New Roman"/>
          <w:color w:val="000000"/>
          <w:sz w:val="20"/>
        </w:rPr>
        <w:t>e offers products primarily direct to consumers located in Europe through eCommerce international websites as well as third-party marketplace websites.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Outfitters</w:t>
      </w:r>
      <w:r>
        <w:rPr>
          <w:color w:val="000000"/>
        </w:rPr>
        <w:t xml:space="preserve"> </w:t>
      </w:r>
      <w:r>
        <w:rPr>
          <w:rFonts w:ascii="Times New Roman" w:hAnsi="Times New Roman"/>
          <w:color w:val="000000"/>
          <w:sz w:val="20"/>
        </w:rPr>
        <w:t>sells uniform and logo apparel to businesses and their employees, as well as to student households through school relationships, located primarily in the U.S.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Third Party</w:t>
      </w:r>
      <w:r>
        <w:rPr>
          <w:color w:val="000000"/>
        </w:rPr>
        <w:t xml:space="preserve"> </w:t>
      </w:r>
      <w:r>
        <w:rPr>
          <w:rFonts w:ascii="Times New Roman" w:hAnsi="Times New Roman"/>
          <w:color w:val="000000"/>
          <w:sz w:val="20"/>
        </w:rPr>
        <w:t>sells products direct to consumers through third-party marketplace websites.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Licensing</w:t>
      </w:r>
      <w:r>
        <w:rPr>
          <w:color w:val="000000"/>
        </w:rPr>
        <w:t xml:space="preserve"> </w:t>
      </w:r>
      <w:r>
        <w:rPr>
          <w:rFonts w:ascii="Times New Roman" w:hAnsi="Times New Roman"/>
          <w:color w:val="000000"/>
          <w:sz w:val="20"/>
        </w:rPr>
        <w:t>earns royalties on the use of Lands’ End trademark and any fulfillment fees for fulfillment services provided by the Company.</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 xml:space="preserve">Retail </w:t>
      </w:r>
      <w:r>
        <w:rPr>
          <w:rFonts w:ascii="Times New Roman" w:hAnsi="Times New Roman"/>
          <w:color w:val="000000"/>
          <w:sz w:val="20"/>
        </w:rPr>
        <w:t>sells products through the Company Operated stores, located in the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internal reporting of these operating segments is based, in part, on the reporting and review process used by the Company’s chief operating decision maker (“CODM”), its Chief Executive Officer. The CODM assesses segment performance based on variable profit, which is defined as net revenue minus cost of sales and variable selling expenses. The Company’s CODM monitors actual segment variable profit results relative to operating plan and forecast to assess the performance of the business and allocate resources. The CODM does not utilize segment asset information to evaluate performance and make resource allocation decisions, and thus such disclosures are not provided. Variable profit is a non-GAAP financial measure, which management believes provides useful information to investors and to the CODM in order to assess segment performance. A reconciliation of variable profit to consolidated income (loss) before income taxes is set forth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determined the U.S. eCommerce, Outfitters and Third Party operating segments share similar economic and other qualitative characteristics, and therefore the results of these operating segments are aggregated into the U.S. Digital segment. The Europe eCommerce, Licensing and Retail operating segments are not quantitatively significant to be separately reported.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determined its significant segment expense categories based on amounts regularly provided to the Company’s CODM to evaluate segment profitability and drive strategic decision making. The following presents U.S. Digital segment sales and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tbl>
      <w:tblPr>
        <w:tblW w:w="7530" w:type="dxa"/>
        <w:jc w:val="left"/>
        <w:tblInd w:w="0" w:type="dxa"/>
        <w:tblLayout w:type="fixed"/>
        <w:tblCellMar>
          <w:top w:w="28" w:type="dxa"/>
          <w:left w:w="28" w:type="dxa"/>
          <w:bottom w:w="28" w:type="dxa"/>
          <w:right w:w="28" w:type="dxa"/>
        </w:tblCellMar>
      </w:tblPr>
      <w:tblGrid>
        <w:gridCol w:w="2641"/>
        <w:gridCol w:w="146"/>
        <w:gridCol w:w="211"/>
        <w:gridCol w:w="781"/>
        <w:gridCol w:w="146"/>
        <w:gridCol w:w="211"/>
        <w:gridCol w:w="781"/>
        <w:gridCol w:w="146"/>
        <w:gridCol w:w="146"/>
        <w:gridCol w:w="211"/>
        <w:gridCol w:w="781"/>
        <w:gridCol w:w="146"/>
        <w:gridCol w:w="211"/>
        <w:gridCol w:w="78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other net revenue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Shipping 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expenses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variable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other net revenue is from Europe eCommerce, Licensing and Retail that does not meet the quantitative thresholds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4"/>
        </w:rPr>
      </w:pPr>
      <w:r>
        <w:rPr>
          <w:rFonts w:ascii="Times New Roman" w:hAnsi="Times New Roman"/>
          <w:color w:val="000000"/>
          <w:sz w:val="14"/>
        </w:rPr>
        <w:t>Other segment expenses include credit card fees, customer service, webhosting, supplies and other miscellaneous expenses</w:t>
      </w:r>
    </w:p>
    <w:p>
      <w:pPr>
        <w:pStyle w:val="TextBody"/>
        <w:bidi w:val="0"/>
        <w:jc w:val="both"/>
        <w:rPr/>
      </w:pPr>
      <w:r>
        <w:rPr/>
        <w:t> </w:t>
      </w:r>
    </w:p>
    <w:tbl>
      <w:tblPr>
        <w:tblW w:w="7530" w:type="dxa"/>
        <w:jc w:val="left"/>
        <w:tblInd w:w="0" w:type="dxa"/>
        <w:tblLayout w:type="fixed"/>
        <w:tblCellMar>
          <w:top w:w="28" w:type="dxa"/>
          <w:left w:w="28" w:type="dxa"/>
          <w:bottom w:w="28" w:type="dxa"/>
          <w:right w:w="28" w:type="dxa"/>
        </w:tblCellMar>
      </w:tblPr>
      <w:tblGrid>
        <w:gridCol w:w="2641"/>
        <w:gridCol w:w="146"/>
        <w:gridCol w:w="211"/>
        <w:gridCol w:w="781"/>
        <w:gridCol w:w="146"/>
        <w:gridCol w:w="211"/>
        <w:gridCol w:w="781"/>
        <w:gridCol w:w="146"/>
        <w:gridCol w:w="146"/>
        <w:gridCol w:w="211"/>
        <w:gridCol w:w="781"/>
        <w:gridCol w:w="146"/>
        <w:gridCol w:w="211"/>
        <w:gridCol w:w="78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other net revenue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Shipping 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expenses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variable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other net revenue is from Europe eCommerce, Licensing and Retail that does not meet the quantitative thresholds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4"/>
        </w:rPr>
      </w:pPr>
      <w:r>
        <w:rPr>
          <w:rFonts w:ascii="Times New Roman" w:hAnsi="Times New Roman"/>
          <w:color w:val="000000"/>
          <w:sz w:val="14"/>
        </w:rPr>
        <w:t>Other segment expenses include credit card fees, customer service, webhosting, supplies and other miscellaneous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reconciliation between segment variable profit to consolidated income (loss) before income taxes is as follows:</w:t>
      </w:r>
    </w:p>
    <w:p>
      <w:pPr>
        <w:pStyle w:val="TextBody"/>
        <w:bidi w:val="0"/>
        <w:spacing w:before="120" w:after="283"/>
        <w:jc w:val="both"/>
        <w:rPr/>
      </w:pPr>
      <w:r>
        <w:rPr/>
        <w:t> </w:t>
      </w:r>
    </w:p>
    <w:tbl>
      <w:tblPr>
        <w:tblW w:w="6775" w:type="dxa"/>
        <w:jc w:val="left"/>
        <w:tblInd w:w="0" w:type="dxa"/>
        <w:tblLayout w:type="fixed"/>
        <w:tblCellMar>
          <w:top w:w="28" w:type="dxa"/>
          <w:left w:w="28" w:type="dxa"/>
          <w:bottom w:w="28" w:type="dxa"/>
          <w:right w:w="28" w:type="dxa"/>
        </w:tblCellMar>
      </w:tblPr>
      <w:tblGrid>
        <w:gridCol w:w="2896"/>
        <w:gridCol w:w="146"/>
        <w:gridCol w:w="347"/>
        <w:gridCol w:w="1213"/>
        <w:gridCol w:w="166"/>
        <w:gridCol w:w="146"/>
        <w:gridCol w:w="367"/>
        <w:gridCol w:w="1283"/>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variable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other variable profit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corporate expenses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other variable profit is from Europe eCommerce, Licensing and Retail that does not meet the quantitative thresholds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4"/>
        </w:rPr>
      </w:pPr>
      <w:r>
        <w:rPr>
          <w:rFonts w:ascii="Times New Roman" w:hAnsi="Times New Roman"/>
          <w:color w:val="000000"/>
          <w:sz w:val="14"/>
        </w:rPr>
        <w:t>Unallocated corporate expenses include fixed personnel costs, incentive compensation, office occupancy, information technology and professional fees</w:t>
      </w:r>
    </w:p>
    <w:p>
      <w:pPr>
        <w:pStyle w:val="TextBody"/>
        <w:bidi w:val="0"/>
        <w:jc w:val="both"/>
        <w:rPr/>
      </w:pPr>
      <w:r>
        <w:rPr/>
        <w:t> </w:t>
      </w:r>
    </w:p>
    <w:tbl>
      <w:tblPr>
        <w:tblW w:w="6775" w:type="dxa"/>
        <w:jc w:val="left"/>
        <w:tblInd w:w="0" w:type="dxa"/>
        <w:tblLayout w:type="fixed"/>
        <w:tblCellMar>
          <w:top w:w="28" w:type="dxa"/>
          <w:left w:w="28" w:type="dxa"/>
          <w:bottom w:w="28" w:type="dxa"/>
          <w:right w:w="28" w:type="dxa"/>
        </w:tblCellMar>
      </w:tblPr>
      <w:tblGrid>
        <w:gridCol w:w="2896"/>
        <w:gridCol w:w="146"/>
        <w:gridCol w:w="313"/>
        <w:gridCol w:w="1247"/>
        <w:gridCol w:w="166"/>
        <w:gridCol w:w="146"/>
        <w:gridCol w:w="331"/>
        <w:gridCol w:w="1319"/>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variable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other variable profit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corporate expenses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other variable profit is from Europe eCommerce, Licensing and Retail that does not meet the quantitative thresholds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4"/>
        </w:rPr>
      </w:pPr>
      <w:r>
        <w:rPr>
          <w:rFonts w:ascii="Times New Roman" w:hAnsi="Times New Roman"/>
          <w:color w:val="000000"/>
          <w:sz w:val="14"/>
        </w:rPr>
        <w:t>Unallocated corporate expenses include fixed personnel costs, incentive compensation, office occupancy, information technology and professional fees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revenue is presented by distribution channel in the following tables:</w:t>
      </w:r>
    </w:p>
    <w:p>
      <w:pPr>
        <w:pStyle w:val="TextBody"/>
        <w:bidi w:val="0"/>
        <w:jc w:val="both"/>
        <w:rPr/>
      </w:pPr>
      <w:r>
        <w:rPr/>
        <w:t> </w:t>
      </w:r>
    </w:p>
    <w:tbl>
      <w:tblPr>
        <w:tblW w:w="9122" w:type="dxa"/>
        <w:jc w:val="left"/>
        <w:tblInd w:w="0" w:type="dxa"/>
        <w:tblLayout w:type="fixed"/>
        <w:tblCellMar>
          <w:top w:w="28" w:type="dxa"/>
          <w:left w:w="28" w:type="dxa"/>
          <w:bottom w:w="28" w:type="dxa"/>
          <w:right w:w="28" w:type="dxa"/>
        </w:tblCellMar>
      </w:tblPr>
      <w:tblGrid>
        <w:gridCol w:w="3061"/>
        <w:gridCol w:w="146"/>
        <w:gridCol w:w="331"/>
        <w:gridCol w:w="1229"/>
        <w:gridCol w:w="146"/>
        <w:gridCol w:w="200"/>
        <w:gridCol w:w="640"/>
        <w:gridCol w:w="271"/>
        <w:gridCol w:w="146"/>
        <w:gridCol w:w="351"/>
        <w:gridCol w:w="1299"/>
        <w:gridCol w:w="146"/>
        <w:gridCol w:w="200"/>
        <w:gridCol w:w="640"/>
        <w:gridCol w:w="31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eCommerce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Outfitters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U.S. Digital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eCommerce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and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tbl>
      <w:tblPr>
        <w:tblW w:w="9122" w:type="dxa"/>
        <w:jc w:val="left"/>
        <w:tblInd w:w="0" w:type="dxa"/>
        <w:tblLayout w:type="fixed"/>
        <w:tblCellMar>
          <w:top w:w="28" w:type="dxa"/>
          <w:left w:w="28" w:type="dxa"/>
          <w:bottom w:w="28" w:type="dxa"/>
          <w:right w:w="28" w:type="dxa"/>
        </w:tblCellMar>
      </w:tblPr>
      <w:tblGrid>
        <w:gridCol w:w="3061"/>
        <w:gridCol w:w="146"/>
        <w:gridCol w:w="331"/>
        <w:gridCol w:w="1229"/>
        <w:gridCol w:w="146"/>
        <w:gridCol w:w="200"/>
        <w:gridCol w:w="640"/>
        <w:gridCol w:w="271"/>
        <w:gridCol w:w="146"/>
        <w:gridCol w:w="351"/>
        <w:gridCol w:w="1299"/>
        <w:gridCol w:w="146"/>
        <w:gridCol w:w="200"/>
        <w:gridCol w:w="640"/>
        <w:gridCol w:w="31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eCommerce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Outfitters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U.S. Digital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eCommerce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and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13. REVENUE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Net Revenue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Product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includes sales of merchandise and delivery revenue related to merchandise sold. Substantially all of the Company’s revenue is recognized when control of product passes to customers, which for the U.S. eCommerce, Europe eCommerce, Outfitters and Third Party distribution channels is when the merchandise is received by the customer and for the Retail distribution channel is at the time of sale in the store. The Company recognizes revenue, including shipping and handling fees billed to customers, in the amount expected to be received when control of the Company’s products transfers to customers, and is presented net of various forms of promotions, which range from contractually fixed percentage price reductions to sales returns, discounts, and other incentives that may vary in amount. Variable amounts are estimated based on an analysis of historical experience and adjusted as better estimates become available.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Company’s revenue is disaggregated by distribution channel and geographic location. Revenue by distribution channel is presented in Note 12, </w:t>
      </w:r>
      <w:r>
        <w:rPr>
          <w:rFonts w:ascii="Times New Roman" w:hAnsi="Times New Roman"/>
          <w:i/>
          <w:color w:val="000000"/>
          <w:sz w:val="20"/>
        </w:rPr>
        <w:t>Segment Reporting</w:t>
      </w:r>
      <w:r>
        <w:rPr>
          <w:rFonts w:ascii="Times New Roman" w:hAnsi="Times New Roman"/>
          <w:color w:val="000000"/>
          <w:sz w:val="20"/>
        </w:rPr>
        <w:t>. Revenue by geographic location was:</w:t>
      </w:r>
    </w:p>
    <w:p>
      <w:pPr>
        <w:pStyle w:val="TextBody"/>
        <w:bidi w:val="0"/>
        <w:jc w:val="both"/>
        <w:rPr/>
      </w:pPr>
      <w:r>
        <w:rPr/>
        <w:t> </w:t>
      </w:r>
    </w:p>
    <w:tbl>
      <w:tblPr>
        <w:tblW w:w="9209" w:type="dxa"/>
        <w:jc w:val="left"/>
        <w:tblInd w:w="0" w:type="dxa"/>
        <w:tblLayout w:type="fixed"/>
        <w:tblCellMar>
          <w:top w:w="28" w:type="dxa"/>
          <w:left w:w="28" w:type="dxa"/>
          <w:bottom w:w="28" w:type="dxa"/>
          <w:right w:w="28" w:type="dxa"/>
        </w:tblCellMar>
      </w:tblPr>
      <w:tblGrid>
        <w:gridCol w:w="1576"/>
        <w:gridCol w:w="146"/>
        <w:gridCol w:w="332"/>
        <w:gridCol w:w="1228"/>
        <w:gridCol w:w="146"/>
        <w:gridCol w:w="146"/>
        <w:gridCol w:w="351"/>
        <w:gridCol w:w="1299"/>
        <w:gridCol w:w="146"/>
        <w:gridCol w:w="146"/>
        <w:gridCol w:w="332"/>
        <w:gridCol w:w="1228"/>
        <w:gridCol w:w="146"/>
        <w:gridCol w:w="146"/>
        <w:gridCol w:w="351"/>
        <w:gridCol w:w="1299"/>
        <w:gridCol w:w="1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837,771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Licensing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generates royalty revenue from licensing the right to use its trademarks to third parties. The licensing agreements generally are exclusive to a product category, selling channel and/or geography, have terms in excess of one year, provide for annual guaranteed minimum royalties and, in most cases, include renewal options. In certain agreements, the licensee pays the Company a fulfillment fee for licensed product sold on the Company’s website and fulfilled from the Company’s distribution center. The trademark royalty revenue and fulfillment fee are included in Net revenue and reported in the Licensing distribution channel.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exchange for providing these rights, the license agreements require the licensees to pay the Company a trademark royalty based on net sales as defined in the license agreements. The Company recognizes sales-based royalty revenue (i) when a contractually guaranteed minimum is not expected to be met, the minimum is recognized as revenue on a straight-line basis over the contractual period, or (ii) when the contractually guaranteed minimum is expected to be met, revenue is recognized when the related sales of the licensed product occurs. In certain licensing agreements, the Company agreed to provide marketing activities. The Company receives reimbursement for such services at cost. The amount of these reimbursements are recorded as a reduction of Selling and administrative expenses in the Condensed Consolidated Statements of Operations. The amount of these reimbursements was $4.0 million and $7.9 million for the 13 and 39 weeks ended October 31, 2025, respectively, and $3.5 million and $6.8 million for the 13 and 39 weeks ended November 1, 2024, respectively.</w:t>
      </w:r>
    </w:p>
    <w:p>
      <w:pPr>
        <w:pStyle w:val="TextBody"/>
        <w:bidi w:val="0"/>
        <w:spacing w:before="12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Contract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Contract liabilities consist of payments received in advance of the transfer of control to the customer. As products are delivered and control transfers, the Company recognizes the deferred revenue in Net revenue in the Condensed Consolidated Statements of Operations. The following table summarizes the deferred revenue associated with payments received in advance of the transfer of control to the customer, reported in Accrued expenses and other current liabilities in the Condensed Consolidated Balance Sheets, and amounts recognized through Net revenue for each period presented. The majority of deferred revenue as of October 31, 2025 is expected to be recognized in Net revenue in the fiscal quarter ending January 30, 2026, as products are delivered to customers.</w:t>
      </w:r>
    </w:p>
    <w:tbl>
      <w:tblPr>
        <w:tblW w:w="10205" w:type="dxa"/>
        <w:jc w:val="left"/>
        <w:tblInd w:w="0" w:type="dxa"/>
        <w:tblLayout w:type="fixed"/>
        <w:tblCellMar>
          <w:top w:w="28" w:type="dxa"/>
          <w:left w:w="28" w:type="dxa"/>
          <w:bottom w:w="28" w:type="dxa"/>
          <w:right w:w="28" w:type="dxa"/>
        </w:tblCellMar>
      </w:tblPr>
      <w:tblGrid>
        <w:gridCol w:w="2893"/>
        <w:gridCol w:w="146"/>
        <w:gridCol w:w="346"/>
        <w:gridCol w:w="1111"/>
        <w:gridCol w:w="166"/>
        <w:gridCol w:w="146"/>
        <w:gridCol w:w="367"/>
        <w:gridCol w:w="1183"/>
        <w:gridCol w:w="166"/>
        <w:gridCol w:w="146"/>
        <w:gridCol w:w="346"/>
        <w:gridCol w:w="1111"/>
        <w:gridCol w:w="166"/>
        <w:gridCol w:w="146"/>
        <w:gridCol w:w="367"/>
        <w:gridCol w:w="1183"/>
        <w:gridCol w:w="216"/>
      </w:tblGrid>
      <w:tr>
        <w:trPr/>
        <w:tc>
          <w:tcPr>
            <w:tcW w:w="2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recognized in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deferred in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10,342</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from gift cards is recognized when (i) the gift card is redeemed by the customer for merchandise, or (ii) as gift card breakage, an estimate of gift cards which will not be redeemed where the Company does not have a legal obligation to remit the value of the unredeemed gift cards to the relevant jurisdictions. Gift card breakage is recorded within Net revenue in the Condensed Consolidated Statements of Operations. Prior to their redemption, gift cards are recorded as a liability and included within Accrued expenses and other current liabilities in the Condensed Consolidated Balance Sheets. The liability is estimated based on expected breakage that considers historical patterns of redemption. The following table provides the reconciliation of the contract liability related to gift cards:</w:t>
      </w:r>
    </w:p>
    <w:tbl>
      <w:tblPr>
        <w:tblW w:w="10205" w:type="dxa"/>
        <w:jc w:val="left"/>
        <w:tblInd w:w="0" w:type="dxa"/>
        <w:tblLayout w:type="fixed"/>
        <w:tblCellMar>
          <w:top w:w="28" w:type="dxa"/>
          <w:left w:w="28" w:type="dxa"/>
          <w:bottom w:w="28" w:type="dxa"/>
          <w:right w:w="28" w:type="dxa"/>
        </w:tblCellMar>
      </w:tblPr>
      <w:tblGrid>
        <w:gridCol w:w="2705"/>
        <w:gridCol w:w="146"/>
        <w:gridCol w:w="335"/>
        <w:gridCol w:w="1172"/>
        <w:gridCol w:w="166"/>
        <w:gridCol w:w="146"/>
        <w:gridCol w:w="353"/>
        <w:gridCol w:w="1240"/>
        <w:gridCol w:w="166"/>
        <w:gridCol w:w="146"/>
        <w:gridCol w:w="335"/>
        <w:gridCol w:w="1172"/>
        <w:gridCol w:w="166"/>
        <w:gridCol w:w="146"/>
        <w:gridCol w:w="353"/>
        <w:gridCol w:w="1240"/>
        <w:gridCol w:w="218"/>
      </w:tblGrid>
      <w:tr>
        <w:trPr/>
        <w:tc>
          <w:tcPr>
            <w:tcW w:w="2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7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cards redeemed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 breakage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33,456</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Refund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Refund liabilities, primarily associated with product sales returns and retrospective volume rebates, represent variable consideration and are estimated and recorded as a reduction to Net revenue based on historical experience. Refund liabilities, primarily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associated with estimated product returns, were $16.5 million, $19.3 million and $15.2 million as of October 31, 2025, November 1, 2024 and January 31, 2025, respectively, and reported in Accrued expenses and other current liabilities in the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2" w:name="item_2_managements_discussion_analysis_f"/>
      <w:bookmarkEnd w:id="12"/>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You should read the following discussion in conjunction with the Condensed Consolidated Financial Statements and accompanying notes included elsewhere in this Quarterly Report on Form 10-Q. This Management’s Discussion and Analysis of Financial Condition and Results of Operations contains forward-looking statements. The matters discussed in these forward-looking statements are subject to risks, uncertainties, and other factors that could cause actual results to differ materially from those made, projected or implied in the forward-looking statements. See “Cautionary Statement Regarding Forward-Looking Information” below, “Item 1A. Risk Factors” in our Annual Report filed on Form 10-K for the year ended January 31, 2025 and “Part II, Item 1A Risk Factors” of this Quarterly Report on Form 10-Q, for a discussion of the uncertainties, risks and assumptions associated with these statements.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As used in this Quarterly Report on Form 10-Q, references to the “Company”, “Lands’ End”, “we”, “us”, “our” and similar terms refer to Lands’ End, Inc. and its subsidiaries. Our fiscal year ends on the Friday preceding the Saturday closest to January 31. Other terms that are commonly used in this Quarterly Report on Form 10-Q are defined as follows: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ABL Facility – Asset-based senior secured credit agreement, providing for a revolving facility, dated as of November 16, 2017, with Wells Fargo Bank, N.A. and certain other lenders, as amended to date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Adjusted EBITDA – Net income (loss) appearing on the Condensed Consolidated Statements of Operations net of Income tax expense/(benefit), Interest expense, Depreciation and amortization and other significant items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Adjusted net income (loss) – Net income (loss) appearing on the Condensed Consolidated Statements of Operations</w:t>
      </w:r>
      <w:r>
        <w:rPr>
          <w:color w:val="000000"/>
        </w:rPr>
        <w:t xml:space="preserve"> </w:t>
      </w:r>
      <w:r>
        <w:rPr>
          <w:rFonts w:ascii="Times New Roman" w:hAnsi="Times New Roman"/>
          <w:i/>
          <w:color w:val="000000"/>
          <w:sz w:val="20"/>
        </w:rPr>
        <w:t>excluding significant non-recurring or non-operational items. Adjusted net income (loss) is also presented on a diluted per share basis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Company Operated stores – Lands’ End retail stores in the Retail distribution channel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Debt Facilities – Collectively, the Term Loan Facility and ABL Facility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First Quarter 2024 – The 13 weeks ended May 3, 2024</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Fiscal 2025 – The 52 weeks ending January 30, 2026</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Fiscal 2024 – The 52 weeks ended January 31, 2025</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Fiscal 2023 – The 53 weeks ended February 2, 2024</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GAAP – Accounting principles generally accepted in the United States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GMV – Gross merchandise value equals total order value of all Lands’ End branded merchandise sold to customers through business-to-consumer and business-to-business channels, as well as the estimated retail value of the merchandise sold through third party distribution channels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Third Quarter 2025 – The 13 weeks ended October 31, 2025</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Third Quarter 2024 – The 13 weeks ended November 1, 2024</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 xml:space="preserve">SOFR – Secured Overnight Funding Rate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Term Loan Adjusted SOFR – SOFR plus adjustments of either (a) 0.11448% for a one-month interest period, (b) 0.26161% for a three-month interest period, or (c) 0.42826% for a six-month interest period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Term Loan Facility – Term loan credit agreement, dated as of December 29, 2023, among the Company, Blue Torch Capital, as Administrative Agent and Collateral Agent, and the lenders party thereto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Year-to-Date 2025 – The 39 weeks ended October 31, 2025</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Year-to-Date 2024 – The 39 weeks ended November 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Executive Overview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Description of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Lands’ End is a leading digital retailer of solution-based apparel, swimwear, outerwear, accessories, footwear, home products and uniforms. We offer products online at </w:t>
      </w:r>
      <w:r>
        <w:rPr>
          <w:rFonts w:ascii="Times New Roman" w:hAnsi="Times New Roman"/>
          <w:i/>
          <w:color w:val="000000"/>
          <w:sz w:val="20"/>
        </w:rPr>
        <w:t>www.landsend.com</w:t>
      </w:r>
      <w:r>
        <w:rPr>
          <w:rFonts w:ascii="Times New Roman" w:hAnsi="Times New Roman"/>
          <w:color w:val="000000"/>
          <w:sz w:val="20"/>
        </w:rPr>
        <w:t>, through third-party distribution channels, our own Company Operated stores and third-party license agreements. We also offer products to businesses and schools, for their employees and students, through the Outfitters distribution channel. We are a classic American lifestyle brand that creates solutions for life’s every journey.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Lands’ End was founded in 1963 by Gary Comer and his partners to sell sailboat hardware and equipment by catalog. While our product focus has shifted significantly over the years, we have continued to adhere to our founder’s motto as one of our guiding principles: “Take care of the customer, take care of the employee and the rest will take care of itself.”</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identify our operating segments according to how our business activities are managed and evaluated. Following internal organizational changes and realignment of distribution channel responsibilities in Fourth Quarter 2024, our operating segments now consist of: U.S. eCommerce, Europe eCommerce, Outfitters, Third Party, Licensing and Retail.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have determined that the U.S. eCommerce, Outfitters and Third Party operating segments share similar economic and other qualitative characteristics, and therefore, the results of these operating segments are aggregated into the U.S. Digital segment. The Europe eCommerce, Licensing and Retail operating segments are not quantitatively significant to be separately reported. See Note 12, </w:t>
      </w:r>
      <w:r>
        <w:rPr>
          <w:rFonts w:ascii="Times New Roman" w:hAnsi="Times New Roman"/>
          <w:i/>
          <w:color w:val="000000"/>
          <w:sz w:val="20"/>
        </w:rPr>
        <w:t>Segment Reporting</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Distribution Channels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identify six separate distribution channels for revenue reporting purposes: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U.S. eCommerce</w:t>
      </w:r>
      <w:r>
        <w:rPr>
          <w:color w:val="000000"/>
        </w:rPr>
        <w:t xml:space="preserve"> </w:t>
      </w:r>
      <w:r>
        <w:rPr>
          <w:rFonts w:ascii="Times New Roman" w:hAnsi="Times New Roman"/>
          <w:color w:val="000000"/>
          <w:sz w:val="20"/>
        </w:rPr>
        <w:t xml:space="preserve">offers products through our eCommerce website.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Europe eCommerc</w:t>
      </w:r>
      <w:r>
        <w:rPr>
          <w:rFonts w:ascii="Times New Roman" w:hAnsi="Times New Roman"/>
          <w:color w:val="000000"/>
          <w:sz w:val="20"/>
        </w:rPr>
        <w:t>e offers products primarily direct to consumers located in Europe through eCommerce international websites as well as third-party marketplace websites.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Outfitters</w:t>
      </w:r>
      <w:r>
        <w:rPr>
          <w:color w:val="000000"/>
        </w:rPr>
        <w:t xml:space="preserve"> </w:t>
      </w:r>
      <w:r>
        <w:rPr>
          <w:rFonts w:ascii="Times New Roman" w:hAnsi="Times New Roman"/>
          <w:color w:val="000000"/>
          <w:sz w:val="20"/>
        </w:rPr>
        <w:t>sells uniform and logo apparel to businesses and their employees, as well as to student households through school relationships, located primarily in the U.S.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Third Party</w:t>
      </w:r>
      <w:r>
        <w:rPr>
          <w:color w:val="000000"/>
        </w:rPr>
        <w:t xml:space="preserve"> </w:t>
      </w:r>
      <w:r>
        <w:rPr>
          <w:rFonts w:ascii="Times New Roman" w:hAnsi="Times New Roman"/>
          <w:color w:val="000000"/>
          <w:sz w:val="20"/>
        </w:rPr>
        <w:t>sells products direct to consumers through third-party marketplace websites.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Licensing</w:t>
      </w:r>
      <w:r>
        <w:rPr>
          <w:color w:val="000000"/>
        </w:rPr>
        <w:t xml:space="preserve"> </w:t>
      </w:r>
      <w:r>
        <w:rPr>
          <w:rFonts w:ascii="Times New Roman" w:hAnsi="Times New Roman"/>
          <w:color w:val="000000"/>
          <w:sz w:val="20"/>
        </w:rPr>
        <w:t>earns royalties on the use of our trademark and any fulfillment fees for fulfillment services provided by us.</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 xml:space="preserve">Retail </w:t>
      </w:r>
      <w:r>
        <w:rPr>
          <w:rFonts w:ascii="Times New Roman" w:hAnsi="Times New Roman"/>
          <w:color w:val="000000"/>
          <w:sz w:val="20"/>
        </w:rPr>
        <w:t>sells products through the Company Operated stores, located in the U.S.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Macroeconomic Challenges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Macroeconomic issues which impact consumer discretionary spending, such as realized inflation-based price increases and high interest rates, have continued to have an impact on our business. Apparel purchases historically have been influenced by domestic and global economic conditions, which may negatively impact customer demand and may require higher levels of promotion in order to attract and retain customers. Additionally, the variable interest rates associated with our Debt Facilities are negatively affected by higher interest rate environments. Macroeconomic challenges may lead to increased cost of raw materials, packaging materials, labor, energy, fuel, debt and other inputs necessary for the production and distribution of our products. Ongoing uncertainty surrounding global trade policy, including ongoing and potential tariff increases on goods manufactured in key sourcing regions, have elevated and could further elevate product costs. We are monitoring these developments and are actively pursuing mitigation strategies, but escalating trade tensions may pressure margins and disrupt supply chain efficiency.</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Restructuring and Other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incurred restructuring and other charges related to cost optimization of business operations and exploring strategic alternatives. During Year-to-Date 2025, we reduced approximately 6% of our corporate office positions and incurred restructuring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charges, primarily severance and benefit and other related costs. The reductions in the corporate office positions were made to better align with the evolving needs of the business and to invest in key growth areas. Additionally, we incurred ongoing costs related to exploring strategic alternatives to maximize shareholder value and have included those costs as part of restructuring and other.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incurred $1.5 million and $1.8 million of restructuring and other costs during the Third Quarter 2025 and Third Quarter 2024, respectively. Restructuring and other costs of $7.2 million and $4.5 million were incurred Year-to-Date 2025 and Year-to-Date 2024,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October 31, 2025, approximately $0.2 million of restructuring and other costs incurred had yet to be paid and are included in Accrued expenses and other current liabilities in the Condensed Consolidated Balance Sheets.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Condensed Consolidated Financial Statements have been prepared in accordance with GAAP and include the accounts of Lands’ End, Inc. and its subsidiaries. All intercompany transactions and balances have been eliminated.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Seasonality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experience seasonal fluctuations in our Net revenue and operating results and historically have realized a significant portion of our net revenue and earnings for the year during our fourth fiscal quarter. We generated approximately 34.0% of our net revenue in the fourth quarters of Fiscal 2024 and Fiscal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Working capital requirements typically increase during the second and third quarters of the fiscal year as inventory builds to support peak selling periods and, accordingly, working capital requirements typically decrease during the fourth quarter of the fiscal year as inventory is sold. Cash provided by operating activities is typically higher in the fourth quarter of the fiscal year due to reduced working capital requirements during that period.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set forth, for the periods indicated, selected income statement data, both in dollars and as a percentage of Net revenue:</w:t>
      </w:r>
    </w:p>
    <w:p>
      <w:pPr>
        <w:pStyle w:val="TextBody"/>
        <w:bidi w:val="0"/>
        <w:jc w:val="both"/>
        <w:rPr/>
      </w:pPr>
      <w:r>
        <w:rPr/>
        <w:t> </w:t>
      </w:r>
    </w:p>
    <w:tbl>
      <w:tblPr>
        <w:tblW w:w="9827" w:type="dxa"/>
        <w:jc w:val="left"/>
        <w:tblInd w:w="0" w:type="dxa"/>
        <w:tblLayout w:type="fixed"/>
        <w:tblCellMar>
          <w:top w:w="28" w:type="dxa"/>
          <w:left w:w="28" w:type="dxa"/>
          <w:bottom w:w="28" w:type="dxa"/>
          <w:right w:w="28" w:type="dxa"/>
        </w:tblCellMar>
      </w:tblPr>
      <w:tblGrid>
        <w:gridCol w:w="4786"/>
        <w:gridCol w:w="146"/>
        <w:gridCol w:w="211"/>
        <w:gridCol w:w="781"/>
        <w:gridCol w:w="166"/>
        <w:gridCol w:w="146"/>
        <w:gridCol w:w="146"/>
        <w:gridCol w:w="571"/>
        <w:gridCol w:w="331"/>
        <w:gridCol w:w="146"/>
        <w:gridCol w:w="211"/>
        <w:gridCol w:w="781"/>
        <w:gridCol w:w="166"/>
        <w:gridCol w:w="146"/>
        <w:gridCol w:w="146"/>
        <w:gridCol w:w="571"/>
        <w:gridCol w:w="37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(exclusive of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tbl>
      <w:tblPr>
        <w:tblW w:w="9827" w:type="dxa"/>
        <w:jc w:val="left"/>
        <w:tblInd w:w="0" w:type="dxa"/>
        <w:tblLayout w:type="fixed"/>
        <w:tblCellMar>
          <w:top w:w="28" w:type="dxa"/>
          <w:left w:w="28" w:type="dxa"/>
          <w:bottom w:w="28" w:type="dxa"/>
          <w:right w:w="28" w:type="dxa"/>
        </w:tblCellMar>
      </w:tblPr>
      <w:tblGrid>
        <w:gridCol w:w="4786"/>
        <w:gridCol w:w="146"/>
        <w:gridCol w:w="211"/>
        <w:gridCol w:w="781"/>
        <w:gridCol w:w="166"/>
        <w:gridCol w:w="146"/>
        <w:gridCol w:w="146"/>
        <w:gridCol w:w="571"/>
        <w:gridCol w:w="331"/>
        <w:gridCol w:w="146"/>
        <w:gridCol w:w="211"/>
        <w:gridCol w:w="781"/>
        <w:gridCol w:w="166"/>
        <w:gridCol w:w="146"/>
        <w:gridCol w:w="146"/>
        <w:gridCol w:w="571"/>
        <w:gridCol w:w="37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(exclusive of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are not included in our cost of sales because we are a reseller of inventory and do not believe that including depreciation and amortization is meaningful. As a result, our gross margins may not be comparable to other entities that include depreciation and amortization related to the sale of their product in their gross margin measure.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Definitions, Reconciliations and Uses of Non-GAAP Financial Measures</w:t>
      </w:r>
    </w:p>
    <w:p>
      <w:pPr>
        <w:pStyle w:val="TextBody"/>
        <w:bidi w:val="0"/>
        <w:jc w:val="both"/>
        <w:rPr>
          <w:rFonts w:ascii="Times New Roman" w:hAnsi="Times New Roman"/>
          <w:color w:val="000000"/>
          <w:sz w:val="20"/>
        </w:rPr>
      </w:pPr>
      <w:r>
        <w:rPr>
          <w:rFonts w:ascii="Times New Roman" w:hAnsi="Times New Roman"/>
          <w:color w:val="000000"/>
          <w:sz w:val="20"/>
        </w:rPr>
        <w:t>In addition to our Net income (loss) determined in accordance with GAAP, for purposes of evaluating operating performance, we report the following non-GAAP measures: Adjusted net income (loss) and Adjusted EBITDA. Adjusted net income (loss) is also expressed on a diluted per share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presenting non-GAAP financial measures provides useful information to investors, allowing them to assess how the business performed excluding the effects of significant non-recurring or non-operational amounts. We believe the use of the non-GAAP financial measures facilitates comparing the results being reported against past and future results by eliminating amounts that we believe are not comparable between periods and assists investors in evaluating the effectiveness of our operations and underlying business trends in a manner that is consistent with management’s own methods for evaluating business performance.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 uses Adjusted net income (loss) and Adjusted EBITDA to evaluate the operating performance of our business for comparable periods and to discuss our business with our Board of Directors, institutional investors and other market participants. Adjusted EBITDA is also used as the basis for a performance measure used in executive incentive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methods we use to calculate our non-GAAP financial measures may differ significantly from methods other companies use to compute similar measures. As a result, any non-GAAP financial measures presented herein may not be comparable to similar measures provided by other companies. Adjusted net income (loss) and Adjusted EBITDA should not be used by investors or other third parties as the sole basis for formulating investment decisions as these measures may exclude a number of important cash and non-cash recurring items.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Adjusted net income (loss) is defined as net income (loss) excluding significant non-recurring or non-operational items as set forth below. Adjusted net income (loss) is also presented on a diluted per share basis. While Adjusted net income (loss) is a non-GAAP measurement, management believes that it is an important indicator of operating performance and useful to investors. </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significant non-recurring or non-operational items, while periodically affecting our results, may vary significantly from period to period and have a disproportionate effect in a given period, which affects comparability of results and are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Corporate restructuring and other – composed of severance and benefit costs as well as costs related to the strategic alternative exploration for the 13 and 39 weeks ended October 31, 2025 and primarily severance and benefit costs for the 13 and 39 weeks ended November 1, 2024.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Long-lived asset impairment – charges associated with the non-cash write down of certain long-lived assets for the 13 and 39 weeks ended October 31, 2025 and November 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Exit costs - charges associated to exit kids and footwear lines of business including inventory excess and obsolescence reserves, inventory discounts and operational charges recorded in the 39 weeks ended October 31, 2025 and November 1, 2024 in conjunction with our licensing arrangements commencing in Fiscal 2024.</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set forth, for the periods indicated, a reconciliation of Net income (loss) to Adjusted net income (loss) and Adjusted diluted earnings (loss) per share:</w:t>
      </w:r>
    </w:p>
    <w:p>
      <w:pPr>
        <w:pStyle w:val="TextBody"/>
        <w:bidi w:val="0"/>
        <w:jc w:val="both"/>
        <w:rPr/>
      </w:pPr>
      <w:r>
        <w:rPr/>
        <w:t> </w:t>
      </w:r>
    </w:p>
    <w:tbl>
      <w:tblPr>
        <w:tblW w:w="8395" w:type="dxa"/>
        <w:jc w:val="left"/>
        <w:tblInd w:w="0" w:type="dxa"/>
        <w:tblLayout w:type="fixed"/>
        <w:tblCellMar>
          <w:top w:w="28" w:type="dxa"/>
          <w:left w:w="28" w:type="dxa"/>
          <w:bottom w:w="28" w:type="dxa"/>
          <w:right w:w="28" w:type="dxa"/>
        </w:tblCellMar>
      </w:tblPr>
      <w:tblGrid>
        <w:gridCol w:w="4516"/>
        <w:gridCol w:w="146"/>
        <w:gridCol w:w="371"/>
        <w:gridCol w:w="1189"/>
        <w:gridCol w:w="166"/>
        <w:gridCol w:w="146"/>
        <w:gridCol w:w="391"/>
        <w:gridCol w:w="1259"/>
        <w:gridCol w:w="21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Tax effects on adjustments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The tax impact of adjustments is calculated at the applicable U.S. and non-U.S. Federal and State statutory rates.</w:t>
      </w:r>
    </w:p>
    <w:p>
      <w:pPr>
        <w:pStyle w:val="TextBody"/>
        <w:bidi w:val="0"/>
        <w:jc w:val="both"/>
        <w:rPr/>
      </w:pPr>
      <w:r>
        <w:rPr/>
        <w:t> </w:t>
      </w:r>
    </w:p>
    <w:tbl>
      <w:tblPr>
        <w:tblW w:w="8395" w:type="dxa"/>
        <w:jc w:val="left"/>
        <w:tblInd w:w="0" w:type="dxa"/>
        <w:tblLayout w:type="fixed"/>
        <w:tblCellMar>
          <w:top w:w="28" w:type="dxa"/>
          <w:left w:w="28" w:type="dxa"/>
          <w:bottom w:w="28" w:type="dxa"/>
          <w:right w:w="28" w:type="dxa"/>
        </w:tblCellMar>
      </w:tblPr>
      <w:tblGrid>
        <w:gridCol w:w="4516"/>
        <w:gridCol w:w="146"/>
        <w:gridCol w:w="371"/>
        <w:gridCol w:w="1189"/>
        <w:gridCol w:w="166"/>
        <w:gridCol w:w="146"/>
        <w:gridCol w:w="366"/>
        <w:gridCol w:w="1284"/>
        <w:gridCol w:w="21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Tax effects on adjustments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The tax impact of adjustments is calculated at the applicable U.S. and non-U.S. Federal and State statutory rates.</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While Adjusted EBITDA is a non-GAAP measurement, management believes that it is an important indicator of operating performance, and is useful to investors, because EBITDA excludes the effects of financings, investing activities and tax structure by eliminating the effects of interest, depreciation and income tax.</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significant items, while periodically affecting our results, may vary significantly from period to period and have a disproportionate effect in a given period, which affects comparability of results and are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Corporate restructuring and other – composed of severance and benefit costs as well as costs related to the strategic alternative exploration for the 13 and 39 weeks ended October 31, 2025 and primarily severance and benefit costs for the 13 and 39 weeks ended November 1, 2024.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Long-lived asset impairment – charges associated with the non-cash write down of certain long-lived assets for the 13 and 39 weeks ended October 31, 2025 and November 1, 2024.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Net gain or loss on disposal of property and equipment – disposal of property and equipment for the 13 and 39 weeks ended October 31, 2025 and November 1, 2024.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Exit costs - charges associated to exit kids and footwear lines of business including inventory excess and obsolescence reserves, inventory discounts and operational charges recorded in the 39 weeks ended October 31, 2025 and November 1, 2024 in conjunction with our licensing arrangements commencing in Fiscal 2024.</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set forth, for the periods indicated, selected income statement data, both in dollars and as a percentage of Net revenue and a reconciliation of Net income (loss) to Adjusted EBITDA:</w:t>
      </w:r>
    </w:p>
    <w:p>
      <w:pPr>
        <w:pStyle w:val="TextBody"/>
        <w:bidi w:val="0"/>
        <w:jc w:val="both"/>
        <w:rPr/>
      </w:pPr>
      <w:r>
        <w:rPr/>
        <w:t> </w:t>
      </w:r>
    </w:p>
    <w:tbl>
      <w:tblPr>
        <w:tblW w:w="8702" w:type="dxa"/>
        <w:jc w:val="left"/>
        <w:tblInd w:w="0" w:type="dxa"/>
        <w:tblLayout w:type="fixed"/>
        <w:tblCellMar>
          <w:top w:w="28" w:type="dxa"/>
          <w:left w:w="28" w:type="dxa"/>
          <w:bottom w:w="28" w:type="dxa"/>
          <w:right w:w="28" w:type="dxa"/>
        </w:tblCellMar>
      </w:tblPr>
      <w:tblGrid>
        <w:gridCol w:w="4171"/>
        <w:gridCol w:w="146"/>
        <w:gridCol w:w="211"/>
        <w:gridCol w:w="676"/>
        <w:gridCol w:w="166"/>
        <w:gridCol w:w="146"/>
        <w:gridCol w:w="146"/>
        <w:gridCol w:w="421"/>
        <w:gridCol w:w="331"/>
        <w:gridCol w:w="146"/>
        <w:gridCol w:w="211"/>
        <w:gridCol w:w="676"/>
        <w:gridCol w:w="166"/>
        <w:gridCol w:w="146"/>
        <w:gridCol w:w="146"/>
        <w:gridCol w:w="421"/>
        <w:gridCol w:w="376"/>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8762" w:type="dxa"/>
        <w:jc w:val="left"/>
        <w:tblInd w:w="0" w:type="dxa"/>
        <w:tblLayout w:type="fixed"/>
        <w:tblCellMar>
          <w:top w:w="28" w:type="dxa"/>
          <w:left w:w="28" w:type="dxa"/>
          <w:bottom w:w="28" w:type="dxa"/>
          <w:right w:w="28" w:type="dxa"/>
        </w:tblCellMar>
      </w:tblPr>
      <w:tblGrid>
        <w:gridCol w:w="4171"/>
        <w:gridCol w:w="146"/>
        <w:gridCol w:w="211"/>
        <w:gridCol w:w="676"/>
        <w:gridCol w:w="166"/>
        <w:gridCol w:w="146"/>
        <w:gridCol w:w="146"/>
        <w:gridCol w:w="421"/>
        <w:gridCol w:w="331"/>
        <w:gridCol w:w="146"/>
        <w:gridCol w:w="211"/>
        <w:gridCol w:w="736"/>
        <w:gridCol w:w="166"/>
        <w:gridCol w:w="146"/>
        <w:gridCol w:w="146"/>
        <w:gridCol w:w="421"/>
        <w:gridCol w:w="376"/>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November 1,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assessing the operational performance of our business, we consider a variety of financial measures. We operate in six separate distribution channels for revenue reporting purposes: U.S. eCommerce, Europe eCommerce, Outfitters, Third Party, Licensing and Retail. A key measure in the evaluation of our business is revenue performance by distribution channel as well as consolidated Gross margin. We manage and assess the performance of each of our operating segments using variable profit, which is defined as Net revenue minus cost of sales and variable selling expenses. This segment measure excludes fixed personnel costs, incentive compensation, office occupancy, information technology, professional fees and depreciation and amortization. See Note 12, </w:t>
      </w:r>
      <w:r>
        <w:rPr>
          <w:rFonts w:ascii="Times New Roman" w:hAnsi="Times New Roman"/>
          <w:i/>
          <w:color w:val="000000"/>
          <w:sz w:val="20"/>
        </w:rPr>
        <w:t>Segment Reporting</w:t>
      </w:r>
      <w:r>
        <w:rPr>
          <w:rFonts w:ascii="Times New Roman" w:hAnsi="Times New Roman"/>
          <w:color w:val="000000"/>
          <w:sz w:val="20"/>
        </w:rPr>
        <w:t xml:space="preserve"> for more information regarding variable profit, which is a non-GAAP measure, as well as a reconciliation of variable profit to Income (loss) before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 Net revenue to evaluate revenue performance for the U.S. eCommerce, Europe eCommerce, Outfitters, Third Party, Retail and Licensing distribution channels. We use GMV, which equals total order value of all Lands’ End branded merchandise sold to customers through business-to-consumer and business-to-business channels, as well as the estimated retail value of the merchandise sold through third party distribution channels, as an important indicator of the performance of the comparable growth of the total brand.</w:t>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Discussion and Analysis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Third Quarter 2025 compared with Third Quarter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Merchandise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Merchandise Value (“GMV”) increased low-single digits when compared to Third Quarter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revenue was $317.5 million for the Third Quarter of 2025, a decrease of $1.1 million or 0.3%, from $318.6 million during the Third Quarter of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U.S. Digital Segment Net revenue was $277.5 million for the Third Quarter of 2025, an increase of $4.0 million or 1.5% from $273.5 million in the Third Quarter of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U.S. eCommerce Net revenue was $179.8 million for the Third Quarter of 2025, a decrease of $6.3 million or 3.4%, from $186.1 million during the Third Quarter of 2024. The Third Quarter of 2025 decrease was the result of improvements in promotional productivity and enhanced inventory efficiency, which resulted in gross margin expansion and improved profitability compared to the Third Quarter of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Outfitters Net revenue was $78.8 million for the Third Quarter of 2025, an increase of $5.4 million or 7.4%, from $73.4 million during the Third Quarter of 2024. The school uniform channel significantly increased due to a strong back to school season and new customers acquired from a competitor exiting the market. Revenue from the business uniform channel was down year-over-year driven by the timing of orders from select enterprise accounts.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Third Party Net revenue was $18.9 million for the Third Quarter of 2025, an increase of $4.8 million or 34.0%, from $14.1 million during the Third Quarter of 2024. The increase was primarily due to strength across nearly all of our marketplace partners with significant year-over-year increases in both Amazon and Macy’s.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Europe eCommerce Net revenue was $19.8 million for the Third Quarter of 2025, a decrease of $5.2 million or 20.8%, from $25.0 million during the Third Quarter of 2024. The decrease was primarily due to increased promotional activity and continued macroeconomic pressures impacting consumers.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Licensing and Retail Net revenue was $20.2 million for the Third Quarter of 2025, an increase of $0.1 million or 0.5%, from $20.1 million during the Third Quarter of 2024. The revenue increased due to licensing revenue increasing by over 30% and the performance of U.S. Company Operated stores partially offset by the timing of wholesale transactions compared to last year.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Profit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was $164.5 million for the Third Quarter of 2025, an increase of $3.4 million or 2.1% from $161.1 million during the Third Quarter of 2024. Gross margin increased approximately 120 basis points to 51.8% in the Third Quarter of 2025, compared with 50.6% in the Third Quarter of 2024. The gross margin improvement was primarily driven by continued strength across key categories at a higher average unit retail and the expansion of the licensing business, partially offset by tariffs.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Selling and Administrative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Selling and administrative expenses decreased $2.3 million to $138.6 million or 43.7% of Net revenue in the Third Quarter of 2025 compared with $140.9 million or 44.2% of Net revenue in the Third Quarter of 2024. The approximately 50 basis point improvement was primarily driven by operational efficiencies and strong cost controls across the entire business.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decreased $0.8 million to $7.4 million in the Third Quarter of 2025 compared with $8.2 million in the Third Quarter of 2024. The decrease in depreciation and amortization is primarily driven by lower software depreciation as a result of major software projects becoming fully depreciated.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Operating Expense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Other operating expense, net was $1.7 million in the Third Quarter of 2025 compared to $2.8 million in the Third Quarter of 2024. The decrease was primarily driven by restructuring and other costs incurred. See Note 1, </w:t>
      </w:r>
      <w:r>
        <w:rPr>
          <w:rFonts w:ascii="Times New Roman" w:hAnsi="Times New Roman"/>
          <w:i/>
          <w:color w:val="000000"/>
          <w:sz w:val="20"/>
        </w:rPr>
        <w:t>Background and Basis of Presentation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 result of the above factors, Operating income was $16.8 million in the Third Quarter of 2025 compared to $9.3 million in the Third Quarter of 2024.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was $9.4 million in the Third Quarter of 2025 compared to $10.3 million in the Third Quarter of 2024. The $0.9 million decrease was primarily driven by lower ABL Facility interest related to lower average outstanding balances and lower applicable interest rates under the Term Loan Facility.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Expense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was insignificant in the Third Quarter of 2025 compared to other expense of $0.4 million in the Third Quarter of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Income Tax (Benefit) Expense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recorded income tax expense at an overall effective rate of 30.2% for the Third Quarter 2025 and a tax benefit of 55.4% for the Third Quarter of 2024, respectively. The overall effective tax rate for the 13 weeks ended October 31, 2025 varies from the U.S. federal statutory rate of 21% as a result of state taxes, and non-deductible expenses. The overall effective tax rate for the 13 weeks ended November 1, 2024 varies from the U.S. federal statutory rate of 21% as a result of state taxes, non-deductible expenses, the impacts of certain state audit closures, and stock-based compensation adjustments.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Income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 above factors, Net income was $5.2 million and diluted earnings per share was $0.17 in the Third Quarter of 2025 compared with Net loss of $0.6 million and diluted loss per share was $0.02 in the Third Quarter of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Net Income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net income was $6.5 million and Adjusted diluted earnings per share was $0.21 in the Third Quarter of 2025 compared to Adjusted net income of $1.8 million and Adjusted diluted earnings per share of $0.06 in the Third Quarter of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EBITDA was $25.9 million in Third Quarter 2025, an increase of 28%, compared to $20.3 million in Third Quarter 2024.</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U.S. Digital Segment Results of Operations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Variable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Digital Segment variable profit was $71.4 million in the Third Quarter of 2025, an increase of $8.0 million compared to $63.4 million in the Third Quarter of 2024. U.S. Digital Segment variable profit was 25.7% of Net revenue in the Third Quarter of 2025, which is an increase of 250 basis points compared to 23.2% of Net revenue in the Third Quarter of 2024. The increase in variable profit as a percentage of Net revenue was driven by product solutions and newness across the assortment, improvements in supply chain costs and cost controls across the entire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cost of goods sold was $104.5 million or 37.7% of U.S. Digital Segment revenue in the Third Quarter of 2025 compared to $103.9 million or 38.0% of U.S. Digital Segment revenue in the Third Quarter of 2024. Shipping cost of goods sold was $32.4 million or 11.7% of U.S. Digital Segment revenue in the Third Quarter of 2025 compared to $33.8 million or 12.4% of U.S. Digital Segment revenue in the Third Quarter of 2024. The change in Product and Shipping cost of goods sold as a percentage of U.S. Digital Segment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was primarily due to product assortment mix and improvements in supply chain costs. Marketing expenses were $45.3 million or 16.3% of U.S. Digital Segment revenue in the Third Quarter of 2025 compared to $45.2 million or 16.5% of U.S. Digital Segment revenue in the Third Quarter of 2024. The increase in Marketing expenses was primarily due to higher digital spend focused on new customer acquisition.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Year-to-Date 2025 compared with Year-to-Date 2024</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Merchandise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Merchandise Value (“GMV”) was approximately flat compared to Year-to-Date 2024. Excluding the $12.7 million impact of transitioning kids and footwear inventory to licensees during First Quarter 2024, GMV increased by low-single digits.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revenue was $872.8 million for Year-to-Date 2025, a decrease of $48.5 million or 5.3%, from $921.3 million during Year-to-Date 2024. Excluding the impact of transitioning kids and footwear inventory to licensees, Net revenue decreased by 3.8%.</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U.S. Digital Segment Net revenue was $760.6 million for Year-to-Date 2025, a decrease of $11.9 million or 1.5% from $772.5 million in Year-to-Date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U.S. eCommerce Net revenue was $517.8 million for Year-to-Date 2025, a decrease of $27.1 million or 5.0%, from $544.9 million during Year-to-Date 2024. Year-to-Date 2025 reflected continued strength in our outerwear and transitional key items which resulted in gross margin expansion and improved profitability compared to Year-to-Date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Outfitters Net revenue was $188.1 million for Year-to-Date 2025, an increase of $8.9 million or 5.0%, from $179.2 million during Year-to-Date 2024. The school uniform channel increased primarily due to a strong back to school season and new customers acquired from a competitor exiting the market. The business uniform channel was approximately flat primarily due to strength in enterprise accounts offset by slight weakness in medium and smaller accounts.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Third Party Net revenue was $54.6 million for Year-to-Date 2025, an increase of $6.2 million or 12.8%, from $48.4 million during Year-to-Date 2024. The increase was primarily due to curated product assortments which resulted in a strong Third Quarter 2025 across nearly all of the marketplaces.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Europe eCommerce Net revenue was $57.3 million for Year-to-Date 2025, a decrease of $15.6 million or 21.4%, from $72.9 million during Year-to-Date 2024. The decrease was primarily due to new leadership using the first half to relaunch as a more premium brand and continued macroeconomic pressures.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Licensing and Retail Net revenue was $55.0 million for Year-to-Date 2025, a decrease of $20.8 million or 27.4%, from $75.8 million during Year-to-Date 2024. The decrease was primarily driven by the impact of transitioning kids and footwear inventory to licensees in the First Quarter of 2024 and the performance of U.S. Company Operated stores partially offset by licensing revenue increasing by over 30%. Compared to Year-to-Date 2024, Licensing GMV increased by over 40%.</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Profit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was $440.6 million for Year-to-Date 2025, a decrease of $11.4 million or 2.5% from $452.0 million during Year-to-Date 2024. Gross margin increased approximately 140 basis points to 50.5% in Year-to-Date 2025, compared with 49.1% in Year-to-Date 2024. The gross margin improvement was primarily driven by continued strength across key categories and expansion of the licensing business, partially offset by tariffs.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Selling and Administrative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Selling and administrative expenses decreased $12.4 million to $391.4 million or 44.8% of Net revenue in Year-to-Date 2025 compared with $403.8 million or 43.8% of Net revenue in Year-to-Date 2024. The approximately 100 basis points increase was primarily driven by deleverage from lower revenues partially offset by operational efficiencies and strong cost controls across the entire business.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decreased $2.5 million to $23.4 million in Year-to-Date 2025 compared with $25.9 million in Year-to-Date 2024. The decrease in depreciation and amortization is primarily driven by lower software depreciation as a result of major software projects becoming fully depreciated.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Operating Expense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Other operating expense, net was $7.5 million in Year-to-Date 2025 compared to $8.4 million in Year-to-Date 2024. The decrease was primarily driven by restructuring and other costs incurred. See Note 1, </w:t>
      </w:r>
      <w:r>
        <w:rPr>
          <w:rFonts w:ascii="Times New Roman" w:hAnsi="Times New Roman"/>
          <w:i/>
          <w:color w:val="000000"/>
          <w:sz w:val="20"/>
        </w:rPr>
        <w:t>Background and Basis of Presentation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 above factors, Operating income was $18.4 million in Year-to-Date 2025 compared to $14.0 million in Year-to-Date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was $27.9 million in Year-to-Date 2025 compared to $31.0 million in Year-to-Date 2024. The $3.1 million decrease was primarily driven by lower ABL Facility interest related to lower average outstanding balances and lower applicable interest rates under the Term Loan Facility.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(Income)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was insignificant in Year-to-Date 2025 compared to Other expense of $0.2 million in Year-to-Date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recorded an income tax benefit at an overall effective rate of 28.8% and 28.7% for the Year-to-Date 2025 and Year-to-Date 2024, respectively. The overall effective tax rate for the 39 weeks ended October 31, 2025 varies from the U.S. federal statutory rate of 21% as a result of state taxes, and non-deductible expenses. The overall effective tax rate for the 39 weeks ended November 1, 2024 varies from the U.S. federal statutory rate of 21% as a result of state taxes, non-deductible expenses, the impact of certain state audit closures, and stock-based compensation adjustments.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Income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 above factors, Net loss was $6.8 million and diluted loss per share was $0.22 in Year-to-Date 2025 compared with Net loss of $12.3 million and diluted loss per share was $0.39 in Year-to-Date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Net Income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net loss was $0.7 million and Adjusted diluted loss per share was $0.02 in Year-to-Date 2025 compared to Adjusted net loss of $5.1 million and Adjusted diluted loss per share of $0.16 in Year-to-Date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 result of the above factors, Adjusted EBITDA was $49.5 million in Year-to-Date 2025 and $48.9 million in Year-to-Date 2024, respectively.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U.S. Digital Segment Results of Operations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Variable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Digital Segment variable profit was $181.0 million in Year-to-Date 2025, a decrease of $0.1 million compared to $181.1 million in Year-to-Date 2024. U.S. Digital Segment variable profit was 23.8% of Net revenue in Year-to-Date 2025, which is an increase of 40 basis points compared to 23.4% of Net revenue in Year-to-Date 2024. The increase in variable profit as a percentage of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was driven by product solutions and newness across the assortment, improvements in supply chain costs and cost controls across the entire business partially offset by deleverage from lower revenues and channel mix.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cost of goods sold was $288.5 million or 37.9% of U.S. Digital Segment revenue in Year-to-Date 2025 compared to $289.4 million or 37.5% of U.S. Digital Segment revenue in Year-to-Date 2024. Shipping cost of goods sold was $94.6 million or 12.4% of U.S. Digital Segment revenue in Year-to-Date 2025 compared to $101.8 million or 13.2% of U.S. Digital Segment revenue in Year-to-Date 2024. The decrease in Product and Shipping cost of goods sold as a percentage of U.S. Digital Segment revenue was primarily due to improvements in supply chain costs partially offset by product assortment mix. Marketing expenses were $128.5 million or 16.9% of U.S. Digital Segment revenue in Year-to-Date 2025 compared to $126.2 million or 16.3% of U.S. Digital Segment revenue in Year-to-Date 2024. The increase in Marketing expenses was primarily due to higher digital spend focused on new customer acquisition.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Liquidity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primary need for liquidity is to fund working capital requirements of our business, which are inventory purchases, payments on debt, capital expenditures and for general corporate purposes. Our cash and cash equivalents and the ABL Facility serve as sources of liquidity for short-term working capital needs and general corporate purposes. The ABL Facility had a balance outstanding of $75.0 million on October 31, 2025, other than letters of credit. Cash generated from our net revenue and profitability, and to a lesser extent our changes in working capital, are driven by the seasonality of our business, with a significant amount of net revenue and operating cash flows generally occurring in the fourth fiscal quarter of each year. We expect that our cash on hand and cash flows from operations, along with revolving on the ABL Facility, will be adequate to meet our capital requirements and operational needs for at least the next 12 months.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ABL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$225.0 million committed revolving ABL Facility, as amended to date, includes a $35.0 million sublimit for letters of credit and is available for working capital and other general corporate liquidity needs. The amount available to borrow is the lesser of (1) the Aggregate Commitments of $225.0 million or (2) the Borrowing Base or Loan Cap which is calculated from Eligible Inventory, Trade Receivables and Credit Card Receivables, all foregoing capitalized terms not defined herein are as defined in the ABL Facility. The balance outstanding on October 31, 2025 and November 1, 2024 was $75.0 million and $60.0 million, respectively. The balance of outstanding letters of credit was $10.9 million and $11.1 million on October 31, 2025 and November 1, 2024, respectively. The borrowing availability under the ABL Facility was $115.1 million and $90.3 million as of October 31, 2025 and November 1, 2024,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with the Fifth Amendment to the ABL Facility, dated March 28, 2025 (the “Fifth Amendment”), a 0.10% adjustment to the SOFR benchmark interest rate was eliminated and the benchmark rates under the ABL Credit Agreement are, at our election, either: (1) Term SOFR (which is a forward looking term rate based on the secured overnight financing rate), or (2) a Base Rate (which is the greatest of (a) 0% per annum, (b) the federal funds rate plus 0.50%, (c) the one-month Term SOFR rate plus 1.00%, or (d) the Wells Fargo “prime rate”). The borrowing margin for SOFR Rate loans is (i) where the average daily total outstanding for the previous quarter is less than $95.0 million, 1.50%, and (ii) where the average daily total outstanding for the previous quarter is equal to or greater than $95.0 million, 1.75%. For Base Rate loans, the borrowing margin is (i) where the average daily total outstanding for the previous quarter is less than $95.0 million, 0.75%, and (ii) where the average daily total outstanding for the previous quarter is equal to or greater than $95.0 million, 1.00% (“Applicable Borrowing Margin”). The Applicable Borrowing Margin for all loans is based upon the average daily total loans outstanding for the previous quarter. The Fifth Amendment had no material interest rate impact.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ABL Facility fees include (i) commitment fees of 0.20% or 0.30% based upon the average daily unused commitment (aggregate commitment less loans and letter of credit outstanding) under the ABL Facility for the preceding fiscal quarter, (ii) customary letter of credit fees and (iii) customary annual agent fees. The Fifth Amendment extended the maturity date of the ABL Facility to the earlier of (a) March 28, 2030 and (b) September 29, 2028 if, on or prior to such date, the Term Loan Facility has not been refinanced, extended or repaid in full in accordance with the terms thereof and not replaced with other indebtedness. Under applicable accounting guidance, certain unamortized debt issuance costs originating from the ABL Facility are deferred and amortized over the extended term of the ABL Facility, and certain unamortized debt issuance costs have been written off. As of October 31, 2025, we had $75.0 million borrowings outstanding under the ABL Facility.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Long-Term Debt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 Loan Facility will mature on December 29, 2028, and amortizes at a rate equal to 1.25% per quarter. Depending upon our Total Leverage Ratio, as defined in the Term Loan Facility, mandatory prepayments in an amount equal to a percentage of our excess cash flows in each fiscal year, ranging from 0% to 75% are required. The Term Loan Facility also has typical prepayment requirements for the proceeds of certain asset sales, casualty events and extraordinary receipts. Voluntary prepayment and certain mandatory prepayments made (i) between December 30, 2024 and December 29, 2025 would result in a prepayment premium equal to 2% of the principal amount of the loan prepaid, (ii) between December 30, 2025 and December 29, 2026, would result in a prepayment premium equal to 1% of the principal amount of the loan prepaid, (iii) between December 30, 2026 and December 29, 2027, would result in a prepayment premium equal to 0.5% of the principal amount of the loan prepaid and (iv) thereafter no prepayment premium is due.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interest rates per annum applicable to the loans under the Term Loan Facility are based on a fluctuating rate of interest equal to, at our election, either (1) Term Loan Adjusted SOFR loan (subject to a 2% floor) plus an applicable margin, or (2) an alternative base rate loan plus an applicable margin. The applicable margin is based on our net leverage and will be, (i) for Term Loan Adjusted SOFR loans, 8.25% per annum if the total leverage ratio is greater than or equal to 2.75:1.00, 8.00% per annum if the total leverage ratio is less than 2.75:1.00 but greater than or equal to 2.25:1.00, and 7.75% per annum if the total leverage ratio is less than 2.25:1.00 and (ii) for base rate loans, 7.25% per annum if the total leverage ratio is greater than or equal to 2.75:1.00, 7.00% per annum if the total leverage ratio is less than 2.75:1.00 but greater than or equal to 2.25:1.00, and 6.75% per annum if the total leverage ratio is less than 2.25:1.00. In each case, the net leverage is determined as of the last day of each applicable measurement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 Loan Facility contains customary agency fees.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Debt Facilities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Guarantees; Security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obligations under the Debt Facilities are unconditionally guaranteed by Lands’ End, Inc. and, subject to certain exceptions, each of its existing and future direct and indirect subsidiaries. The ABL Facility is secured by a first priority security interest in certain working capital of the borrowers and guarantors consisting primarily of accounts receivable and inventory. The Term Loan Facility is also secured by a second priority security interest in the same collateral, with certain exceptions.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 Loan Facility is also secured by a first priority security interest in certain property and assets, including certain fixed assets such as real estate, stock of subsidiaries and intellectual property, in each case, subject to certain exceptions. The ABL Facility is also secured by a second priority interest in the same collateral, with certain exceptions.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Representations and Warranties; Covenants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specified exceptions, the Debt Facilities contain various representations and warranties and restrictive covenants that, among other things, restrict Lands’ End, Inc.’s and its subsidiaries’ ability to incur indebtedness (including guarantees), grant liens, make investments, make dividends or distributions with respect to capital stock, make prepayments on other indebtedness, engage in mergers or change the nature of their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Term Loan Facility contains financial covenants, including a quarterly maximum total leverage ratio test and a monthly minimum liquidity test.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ABL Facility, if excess availability falls below the greater of 10% of the Loan Cap amount or $12.0 million, we will be required to comply with a minimum fixed charge coverage ratio of 1.0 to 1.0. </w:t>
      </w:r>
    </w:p>
    <w:p>
      <w:pPr>
        <w:pStyle w:val="TextBody"/>
        <w:bidi w:val="0"/>
        <w:jc w:val="both"/>
        <w:rPr>
          <w:rFonts w:ascii="Times New Roman" w:hAnsi="Times New Roman"/>
          <w:color w:val="000000"/>
          <w:sz w:val="20"/>
        </w:rPr>
      </w:pPr>
      <w:r>
        <w:rPr>
          <w:rFonts w:ascii="Times New Roman" w:hAnsi="Times New Roman"/>
          <w:color w:val="000000"/>
          <w:sz w:val="20"/>
        </w:rPr>
        <w:t>The Debt Facilities contain certain affirmative covenants, including reporting requirements such as delivery of financial statements, certificates and notices of certain events, maintaining insurance and providing additional guarantees and collateral in certain circumstances.</w:t>
      </w:r>
    </w:p>
    <w:p>
      <w:pPr>
        <w:pStyle w:val="TextBody"/>
        <w:bidi w:val="0"/>
        <w:jc w:val="both"/>
        <w:rPr>
          <w:rFonts w:ascii="Times New Roman" w:hAnsi="Times New Roman"/>
          <w:color w:val="000000"/>
          <w:sz w:val="20"/>
        </w:rPr>
      </w:pPr>
      <w:r>
        <w:rPr>
          <w:rFonts w:ascii="Times New Roman" w:hAnsi="Times New Roman"/>
          <w:color w:val="000000"/>
          <w:sz w:val="20"/>
        </w:rPr>
        <w:t>As of October 31, 2025, we were in compliance with the financial covenants in the Debt Facilities.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Events of Default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Debt Facilities include customary events of default including non-payment of principal, interest or fees, violation of covenants, inaccuracy of representations or warranties, cross defaults related to certain other material indebtedness, bankruptcy and insolvency events, invalidity or impairment of guarantees or security interests, material judgments and change of control.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Cash Flows and Capital Expenditures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operating activities was $15.2 million during Year-to-Date 2025 compared to $12.2 million during Year-to-Date 2024. The increase in net cash used in operating activities was primarily due to tariffs, partially offset by operating income.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investing activities was $23.9 million and $22.1 million during Year-to-Date 2025 and Year-to-Date 2024, respectively. Cash used in investing activities for both periods was primarily used to update our digital information technology infrastructure.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Fiscal 2025, we plan to invest approximately $28.0 million in capital expenditures for strategic investments and infrastructure, primarily in technology and general corporate needs.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$58.4 million during Year-to-Date 2025, compared to $39.4 million during Year-to-Date 2024. The increase in net cash provided by financing activities is primarily due to an increase in borrowings under our ABL Facility in the Third Quarter 2025 as compared to the prior year.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Contractual Obligations and Off-Balance-Sheet Arrangements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have been no material changes to our contractual obligations and off-balance-sheet arrangements as discussed in our Annual Report on Form 10-K for the fiscal year ended January 31,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Financial Instruments with Off-Balance-Sheet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ABL Facility is available for working capital and other general corporate liquidity needs. The balance outstanding on October 31, 2025 and November 1, 2024 was $75.0 million and $60.0 million, respectively. The balance of outstanding letters of credit was $10.9 million and $11.1 million on October 31, 2025 and November 1, 2024, respectively.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Application of Critical Accounting Policies and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the assumptions and estimates associated with revenue, inventory valuation, indefinite-lived intangible asset impairment assessments and income taxes have the greatest potential impact on our financial statements. Therefore, we consider these to be our critical accounting policies and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a complete discussion of our critical accounting policies, please refer to our Annual Report on Form 10-K for the year ended January 31, 2025. There have been no significant changes in our critical accounting policies or their application since January 31,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See Part I, Item 1, Note 2, </w:t>
      </w:r>
      <w:r>
        <w:rPr>
          <w:rFonts w:ascii="Times New Roman" w:hAnsi="Times New Roman"/>
          <w:i/>
          <w:color w:val="000000"/>
          <w:sz w:val="20"/>
        </w:rPr>
        <w:t>Recently Issued Accounting Pronouncements Not Yet Adopted</w:t>
      </w:r>
      <w:r>
        <w:rPr>
          <w:rFonts w:ascii="Times New Roman" w:hAnsi="Times New Roman"/>
          <w:color w:val="000000"/>
          <w:sz w:val="20"/>
        </w:rPr>
        <w:t xml:space="preserve">, of the Condensed Consolidated Financial Statements (unaudited) included in this Quarterly Report on Form 10-Q for information regarding recent accounting pronouncements.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CAUTIONARY STATEMENT REGARDING FORWARD-LOOKING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document contains forward-looking statements. Forward-looking statements reflect our current views with respect to, among other things, future events and performance. These statements may discuss, among other things, our GMV, variable profit, net sales, gross margin, operating expenses, operating income, net income, adjusted net income, adjusted EBITDA, cash flow, financial condition, financings, impairments, expenditures, growth, strategies, plans, achievements, dividends, capital structure, organizational structure, future store openings, market opportunities, strategic alternatives and general market and industry conditions. We generally identify forward-looking statements by words such as “anticipate,” “estimate,” “expect,” “intend,” “project,” “plan,” “predict,” “believe,” “seek,” “continue,” “outlook,” “may,” “might,” “will,” “should,” “can have,” “likely,” “targeting” or the negative version of these words or comparable words. Forward-looking statements are based on beliefs and assumptions made by management using currently available information. These statements are only predictions and are not guarantees of future performance, actions or events. Forward-looking statements are subject to risks and uncertainties. If one or more of these risks or uncertainties materialize, or if management’s underlying beliefs and assumptions prove to be incorrect, actual results may differ materially from those contemplated by a forward-looking statement. These risks and uncertainties include those risks, uncertainties and factors discussed in the “Risk Factors” section of our Annual Report on Form 10-K for the fiscal year ended January 31, 2025 and “Part II, Item 1A Risk Factors” of our Quarterly Report on Form 10-Q for the quarter ended May 2, 2025. Forward-looking statements speak only as of the date on which they are made. We expressly disclaim any obligation to update or revise any forward-looking statement, whether as a result of new information, future events or otherwise, except as required by applicable securities laws and regulations.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13" w:name="item_3_quantitative_qualitative_disclosu"/>
      <w:bookmarkEnd w:id="13"/>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Foreign Currency Exchange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international subsidiaries operate with functional currencies other than the U.S. dollar. Since the Company’s Condensed Consolidated Financial Statements are presented in U.S. dollars, the Company must translate all components of these financial statements from the functional currencies into U.S. dollars at exchange rates in effect during or at the end of the reporting period. Net revenue generated from the Europe eCommerce distribution channel represented approximately 7% of our total Net revenue during the Year-to-Date 2025. The fluctuation in the value of the U.S. dollar against other currencies affects the reported amounts of net revenue, expenses, assets and liabilities. Assuming a 10% change in foreign currency exchange rates, our Net revenue for Year-to-Date 2025 would have increased or decreased by approximately $5.7 million. Translation gains or losses, which are recorded in other comprehensive income or loss, result from translation of the assets and liabilities of our international subsidiaries into U.S. dollars. Foreign currency translation income, net, for Year-to-Date 2025 totaled approximately $0.6 million related to our international subsidiaries in United Kingdom and Germany. Additionally, the Company has foreign currency denominated intercompany receivables and payables that when settled result in a transaction gain or loss. A 10% change in foreign currency exchanges rates would not result in a significant transaction gain or loss in earnings. The Company does not utilize financial instruments for trading purposes or hedging and has not used any derivative financial instruments to limit foreign currency exchange rate exposures. The Company does not consider our foreign earnings to be permanently reinvested.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October 31, 2025, the Company had $6.2 million of cash and cash equivalents denominated in foreign currency, principally in euro, British pound sterling and Hong Kong dollar.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Interest Rate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interest rate risk with the Term Loan Facility and the ABL Facility, as both require the Company to pay interest on outstanding borrowings at variable rates. Each one percentage point change in interest rates (above the 2.00% SOFR floor) associated with the Term Loan Facility would result in a $2.3 million change in our annual cash interest expenses. Assuming our ABL Facility was fully drawn to a principal amount equal to $225.0 million, each one percentage point change in interest rates would result in a $2.3 million change in our annual cash interest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evaluated the effectiveness of our disclosure controls and procedures pursuant to Rule 13a-15 under the Exchange Act, as of the end of the period covered by this Quarterly Report on Form 10-Q. Based on their evaluation for the period covered by this Quarterly Report on Form 10-Q, our Chief Executive Officer and our Chief Financial Officer have concluded that, as of October 31, 2025, the Company’s disclosure controls and procedures (as defined in Rule 13a-15(e) under the Securities Exchange Act of 1934, as amended) are effective.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There have been no changes in the Company’s internal controls over financial reporting identified in connection with the evaluation required by Rules 13a-15 under the Exchange Act during the most recently completed fiscal quarter ended October 31, 2025 that have materially affected, or are reasonably likely to materially affect, our internal control over financial reporting.</w:t>
      </w:r>
      <w:r>
        <w:rPr>
          <w:rFonts w:ascii="Times New Roman" w:hAnsi="Times New Roman"/>
          <w:color w:val="212529"/>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5" w:name="part_ii_or_information"/>
      <w:bookmarkEnd w:id="15"/>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both"/>
        <w:rPr/>
      </w:pPr>
      <w:r>
        <w:rPr/>
        <w:t> </w:t>
      </w:r>
    </w:p>
    <w:p>
      <w:pPr>
        <w:pStyle w:val="TextBody"/>
        <w:bidi w:val="0"/>
        <w:jc w:val="both"/>
        <w:rPr>
          <w:rFonts w:ascii="Times New Roman" w:hAnsi="Times New Roman"/>
          <w:sz w:val="20"/>
        </w:rPr>
      </w:pPr>
      <w:bookmarkStart w:id="16" w:name="item_1_legal_proceedings"/>
      <w:bookmarkEnd w:id="16"/>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pending claims, proceedings and investigations with certainty, management is of the opinion that their ultimate resolution should not have a material adverse effect on our results of operations, cash flows or financial position taken as a whole.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disclosed in the Company’s Annual Report on Form 10-K for the year ended January 31, 2025, filed with the SEC on March 27, 2025, Lands’ End is the defendant in three separate lawsuits, each of which allege adverse health events and personal property damage as a result of wearing uniforms manufactured by Lands’ End: (1) Gilbert et al. v. Lands’ End, Inc., United States District Court for the Western District of Wisconsin, Civil Action No. 3:19-cv-00823-JDP, complaint filed October 3, 2019; (2) Andrews et al. v. Lands’ End, Inc., United States District Court for the Western District of Wisconsin, Civil Action No. 3:19-cv-01066-JDP, complaint filed on December 31, 2019, on behalf of 521 named plaintiffs, later amended to include 1,089 named plaintiffs; and (3) Davis et al. v. Lands’ End, Inc. and Lands’ End Business Outfitters, Inc., United States District Court for the Western District of Wisconsin, Case No. 3:20-cv-00195, complaint filed on March 4, 2020. Plaintiffs in Gilbert, Andrews, and Davis seek nationwide class certification on behalf of similarly situated Delta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order dated April 20, 2020, the Court consolidated the Gilbert and Andrews cases (the “Consolidated Wisconsin Action”) and stayed the Davis case. Plaintiffs in the Consolidated Wisconsin Action and Davis each assert that the damages sustained by the members of the proposed class exceed $5,000,000. Plaintiffs in each case seek damages for personal injuries, pain and suffering, severe emotional distress, financial or economic loss, including medical services and expenses, lost income and other compensable injuries. Plaintiffs in the Consolidated Wisconsin Action seek class certification with respect to performance of the uniforms and warranty claims and maintain individual claims for personal injury by numerous named plaintiffs.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18, 2021, the Court ruled on several pending motions in the Consolidated Wisconsin Action. The Court denied Plaintiffs’ motion for class certification with respect to performance of the uniforms and warranty claims. The Court denied Plaintiffs’ motion for partial summary judgment regarding crocking claims and granted Lands’ End’s motion for partial summary judgment related to certain warranty claims. In addition, giving effect to both the addition and voluntary dismissal of individual plaintiffs over the course of the litigation, the number of individual plaintiffs had been reduced from 1,089 to 603 as of August 18, 2021. On September 1, 2021, Plaintiffs filed a Rule 23(f) petition, seeking interlocutory review of the Court’s decision denying class certification. On September 22, 2021, the U.S. Court of Appeals for the Seventh Circuit (the “Court of Appeals”) denied plaintiffs’ petition.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8, 2022, the Court issued an Opinion and Order in the Consolidated Wisconsin Action (the “July 8 Opinion”), ruling in the Company’s favor on several additional pending motions. The Court granted the Company’s motion to exclude Plaintiffs’ expert opinions because the opinions were not based on reliably applied and scientifically valid methods. Accordingly, because Plaintiffs failed to submit evidence sufficient to show that the uniforms were defective or that a defect in the uniforms caused Plaintiffs’ alleged health problems, the Court granted the Company’s motion for summary judgement on Plaintiffs’ personal injury claims.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After giving effect to the July 8 Opinion, the remaining claims under the Consolidated Wisconsin Action related to claims for property damage and breach of warranty. Following these rulings and a December 1, 2022 order of the court, 277 named Plaintiffs remained in the case who claim they have suffered personal property damage as a result of dye transferring to personal items, with aggregate claims of approximately $110,000 in damages. On July 19, 2023 the parties reported to the Court that they had reached a settlement in principle of the personal property damage matter, and subsequently entered into a Confidential Settlement, fully resolving the outstanding property damage claims, which were the only remaining claims in the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entry of the Final Order by the Court on October 12, 2023, Plaintiffs filed an appeal to the Court of Appeals. On November 13, 2023, the Court of Appeals issued an Order suspending the briefing schedule pending a remand to the District Court for the limited purpose of issuing a revised final judgement order. On February 15, 2024, the Court of Appeals remanded the case to the District Court for entry of a final judgement. On February 20, 2024, the District Court entered final judgement in favor of Lands’ 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23, 2025, the Court of Appeals affirmed the decision of the District Court to grant Lands’ End Summary Judgment on all claims and the District Court’s decision not to certify the class. On November 20, 2025, Plaintiffs filed a Petition for Rehearing, citing alleged errors in the Court of Appeals ruling. Lands’ End continues its vigorous defense of this case and believes the claims are without merit.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the risk factors disclosed in the Company’s Annual Report on Form 10-K for the year ended January 31, 2025, filed with the SEC on March 27, 2025, and as disclosed on the Company’s Quarterly Report on Form 10-Q for the quarter ended May 2, 2025, filed with the SEC on June 5, 2025.</w:t>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Rule 10b5-1 Trading Plans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fiscal quarter ended October 31,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documents are filed as exhibits to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3"/>
        <w:gridCol w:w="146"/>
        <w:gridCol w:w="8936"/>
      </w:tblGrid>
      <w:tr>
        <w:trPr/>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6" w:type="dxa"/>
            <w:tcBorders/>
            <w:vAlign w:val="center"/>
          </w:tcPr>
          <w:p>
            <w:pPr>
              <w:pStyle w:val="TableContents"/>
              <w:bidi w:val="0"/>
              <w:spacing w:before="0" w:after="283"/>
              <w:jc w:val="left"/>
              <w:rPr>
                <w:sz w:val="4"/>
                <w:szCs w:val="4"/>
              </w:rPr>
            </w:pPr>
            <w:r>
              <w:rPr>
                <w:sz w:val="4"/>
                <w:szCs w:val="4"/>
              </w:rPr>
            </w:r>
          </w:p>
        </w:tc>
      </w:tr>
      <w:tr>
        <w:trPr/>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Description</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3.1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Amended and Restated Certificate of Incorporation of Lands’ End, Inc. (incorporated by reference to Exhibit 3.1 of the Annual Report on Form 10-K filed by Lands’ End, Inc. on March 24, 2022 (File No. 001-09769)).</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3.2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Amended and Restated Bylaws of Lands’ End, Inc. (incorporated by reference to Exhibit 3.1 to the Current Report on Form 8-K filed by Lands’ End, Inc. on September 23, 2024 (File No. 001-09769)).</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hyperlink w:anchor="le-ex31_1.htm">
              <w:r>
                <w:rPr>
                  <w:rStyle w:val="InternetLink"/>
                  <w:rFonts w:ascii="Times New Roman" w:hAnsi="Times New Roman"/>
                  <w:color w:val="0000FF"/>
                  <w:sz w:val="20"/>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Required Under Rule 13a-14(a) and 15d-14(a) of the Securities Exchange Act of 1934, as amended.*</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hyperlink w:anchor="le-ex31_2.htm">
              <w:r>
                <w:rPr>
                  <w:rStyle w:val="InternetLink"/>
                  <w:rFonts w:ascii="Times New Roman" w:hAnsi="Times New Roman"/>
                  <w:color w:val="0000FF"/>
                  <w:sz w:val="20"/>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Financial Officer Required Under Rule 13a-14(a) and 15d-14(a) of the Securities Exchange Act of 1934, as amended.*</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hyperlink w:anchor="le-ex32_1.htm">
              <w:r>
                <w:rPr>
                  <w:rStyle w:val="InternetLink"/>
                  <w:rFonts w:ascii="Times New Roman" w:hAnsi="Times New Roman"/>
                  <w:color w:val="0000FF"/>
                  <w:sz w:val="20"/>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and Principal Financial Officer Pursuant to 18 U.S.C. Section 1350, as adopted pursuant to Section 906 of the Sarbanes-Oxley Act of 2002.**</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Document*</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1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Presentation Linkbase Document*</w:t>
            </w:r>
          </w:p>
          <w:p>
            <w:pPr>
              <w:pStyle w:val="TableContents"/>
              <w:bidi w:val="0"/>
              <w:spacing w:before="0" w:after="283"/>
              <w:jc w:val="left"/>
              <w:rPr/>
            </w:pPr>
            <w:r>
              <w:rPr/>
              <w:t> </w:t>
            </w:r>
          </w:p>
        </w:tc>
      </w:tr>
      <w:tr>
        <w:trPr/>
        <w:tc>
          <w:tcPr>
            <w:tcW w:w="1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in Exhibit 101)*</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Lands’ End, Inc.</w:t>
      </w:r>
    </w:p>
    <w:p>
      <w:pPr>
        <w:pStyle w:val="TextBody"/>
        <w:bidi w:val="0"/>
        <w:jc w:val="both"/>
        <w:rPr>
          <w:rFonts w:ascii="Times New Roman" w:hAnsi="Times New Roman"/>
          <w:color w:val="000000"/>
          <w:sz w:val="20"/>
        </w:rPr>
      </w:pPr>
      <w:r>
        <w:rPr>
          <w:rFonts w:ascii="Times New Roman" w:hAnsi="Times New Roman"/>
          <w:color w:val="000000"/>
          <w:sz w:val="20"/>
        </w:rPr>
        <w:t>(Registrant)</w:t>
      </w:r>
    </w:p>
    <w:p>
      <w:pPr>
        <w:pStyle w:val="TextBody"/>
        <w:bidi w:val="0"/>
        <w:jc w:val="both"/>
        <w:rPr/>
      </w:pPr>
      <w:r>
        <w:rPr/>
        <w:t> </w:t>
      </w:r>
    </w:p>
    <w:p>
      <w:pPr>
        <w:pStyle w:val="TextBody"/>
        <w:bidi w:val="0"/>
        <w:jc w:val="both"/>
        <w:rPr/>
      </w:pPr>
      <w:r>
        <w:rPr/>
        <w:t> </w:t>
      </w:r>
    </w:p>
    <w:p>
      <w:pPr>
        <w:pStyle w:val="TextBody"/>
        <w:bidi w:val="0"/>
        <w:jc w:val="left"/>
        <w:rPr/>
      </w:pPr>
      <w:r>
        <w:rPr/>
        <w:t> </w:t>
      </w:r>
    </w:p>
    <w:tbl>
      <w:tblPr>
        <w:tblW w:w="5938" w:type="dxa"/>
        <w:jc w:val="left"/>
        <w:tblInd w:w="0" w:type="dxa"/>
        <w:tblLayout w:type="fixed"/>
        <w:tblCellMar>
          <w:top w:w="28" w:type="dxa"/>
          <w:left w:w="28" w:type="dxa"/>
          <w:bottom w:w="28" w:type="dxa"/>
          <w:right w:w="28" w:type="dxa"/>
        </w:tblCellMar>
      </w:tblPr>
      <w:tblGrid>
        <w:gridCol w:w="646"/>
        <w:gridCol w:w="5101"/>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0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Bernard McCracken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Bernard McCracken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1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 and Treasurer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December 9,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le-ex31_1.htm"/>
      <w:bookmarkStart w:id="22" w:name="ksleex31_1"/>
      <w:bookmarkEnd w:id="21"/>
      <w:bookmarkEnd w:id="22"/>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19"/>
        </w:rPr>
      </w:pPr>
      <w:bookmarkStart w:id="23" w:name="new_section"/>
      <w:bookmarkEnd w:id="23"/>
      <w:r>
        <w:rPr>
          <w:rFonts w:ascii="Times New Roman" w:hAnsi="Times New Roman"/>
          <w:b/>
          <w:color w:val="000000"/>
          <w:sz w:val="19"/>
        </w:rPr>
        <w:t>CERTIFICATIONS</w:t>
      </w:r>
    </w:p>
    <w:p>
      <w:pPr>
        <w:pStyle w:val="TextBody"/>
        <w:bidi w:val="0"/>
        <w:spacing w:before="180" w:after="283"/>
        <w:jc w:val="left"/>
        <w:rPr>
          <w:rFonts w:ascii="Times New Roman" w:hAnsi="Times New Roman"/>
          <w:color w:val="000000"/>
          <w:sz w:val="19"/>
        </w:rPr>
      </w:pPr>
      <w:r>
        <w:rPr>
          <w:rFonts w:ascii="Times New Roman" w:hAnsi="Times New Roman"/>
          <w:color w:val="000000"/>
          <w:sz w:val="19"/>
        </w:rPr>
        <w:t>I, Andrew J. McLean, certify that:</w:t>
      </w:r>
    </w:p>
    <w:p>
      <w:pPr>
        <w:pStyle w:val="TextBody"/>
        <w:bidi w:val="0"/>
        <w:spacing w:before="17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70" w:after="283"/>
        <w:jc w:val="left"/>
        <w:rPr>
          <w:rFonts w:ascii="Times New Roman" w:hAnsi="Times New Roman"/>
          <w:color w:val="000000"/>
          <w:sz w:val="19"/>
        </w:rPr>
      </w:pPr>
      <w:r>
        <w:rPr>
          <w:rFonts w:ascii="Times New Roman" w:hAnsi="Times New Roman"/>
          <w:color w:val="000000"/>
          <w:sz w:val="19"/>
        </w:rPr>
        <w:t xml:space="preserve">I have reviewed this quarterly report on Form 10-Q of Lands’ End, Inc.;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3.</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4.</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(c)</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(d)</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5.</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Date: December 9, 2025</w:t>
            </w:r>
          </w:p>
        </w:tc>
      </w:tr>
      <w:tr>
        <w:trPr/>
        <w:tc>
          <w:tcPr>
            <w:tcW w:w="249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2491"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/s/ Andrew J. McLean</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Andrew J. McLean</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Chief Executive Officer</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(Principal Executive Officer)</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Lands’ End, Inc.</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le-ex31_2.htm"/>
      <w:bookmarkStart w:id="25" w:name="ksleex31_2"/>
      <w:bookmarkEnd w:id="24"/>
      <w:bookmarkEnd w:id="25"/>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19"/>
        </w:rPr>
      </w:pPr>
      <w:bookmarkStart w:id="26" w:name="new_section1"/>
      <w:bookmarkEnd w:id="26"/>
      <w:r>
        <w:rPr>
          <w:rFonts w:ascii="Times New Roman" w:hAnsi="Times New Roman"/>
          <w:b/>
          <w:color w:val="000000"/>
          <w:sz w:val="19"/>
        </w:rPr>
        <w:t>CERTIFICATIONS</w:t>
      </w:r>
    </w:p>
    <w:p>
      <w:pPr>
        <w:pStyle w:val="TextBody"/>
        <w:bidi w:val="0"/>
        <w:spacing w:before="180" w:after="283"/>
        <w:jc w:val="left"/>
        <w:rPr>
          <w:rFonts w:ascii="Times New Roman" w:hAnsi="Times New Roman"/>
          <w:color w:val="000000"/>
          <w:sz w:val="19"/>
        </w:rPr>
      </w:pPr>
      <w:r>
        <w:rPr>
          <w:rFonts w:ascii="Times New Roman" w:hAnsi="Times New Roman"/>
          <w:color w:val="000000"/>
          <w:sz w:val="19"/>
        </w:rPr>
        <w:t>I, Bernard McCracken, certify that:</w:t>
      </w:r>
    </w:p>
    <w:p>
      <w:pPr>
        <w:pStyle w:val="TextBody"/>
        <w:bidi w:val="0"/>
        <w:spacing w:before="17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170" w:after="283"/>
        <w:jc w:val="left"/>
        <w:rPr>
          <w:rFonts w:ascii="Times New Roman" w:hAnsi="Times New Roman"/>
          <w:color w:val="000000"/>
          <w:sz w:val="19"/>
        </w:rPr>
      </w:pPr>
      <w:r>
        <w:rPr>
          <w:rFonts w:ascii="Times New Roman" w:hAnsi="Times New Roman"/>
          <w:color w:val="000000"/>
          <w:sz w:val="19"/>
        </w:rPr>
        <w:t xml:space="preserve">I have reviewed this quarterly report on Form 10-Q of Lands’ End, Inc.;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3.</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4.</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(c)</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(d)</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5.</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170" w:after="283"/>
        <w:jc w:val="both"/>
        <w:rPr>
          <w:rFonts w:ascii="Times New Roman" w:hAnsi="Times New Roman"/>
          <w:color w:val="000000"/>
          <w:sz w:val="19"/>
        </w:rPr>
      </w:pPr>
      <w:r>
        <w:rPr>
          <w:rFonts w:ascii="Times New Roman" w:hAnsi="Times New Roman"/>
          <w:color w:val="000000"/>
          <w:sz w:val="19"/>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Date: December 9, 2025</w:t>
            </w:r>
          </w:p>
        </w:tc>
      </w:tr>
      <w:tr>
        <w:trPr/>
        <w:tc>
          <w:tcPr>
            <w:tcW w:w="3166"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3166"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/s/ Bernard McCracken</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Bernard McCracken</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Chief Financial Officer and Treasurer</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(Principal Financial Officer)</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9"/>
              </w:rPr>
            </w:pPr>
            <w:r>
              <w:rPr>
                <w:rFonts w:ascii="Times New Roman" w:hAnsi="Times New Roman"/>
                <w:color w:val="000000"/>
                <w:sz w:val="19"/>
              </w:rPr>
              <w:t>Lands’ End, Inc.</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le-ex32_1.htm"/>
      <w:bookmarkStart w:id="28" w:name="ksleex32_1"/>
      <w:bookmarkEnd w:id="27"/>
      <w:bookmarkEnd w:id="28"/>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bookmarkStart w:id="29" w:name="new_section2"/>
      <w:bookmarkEnd w:id="29"/>
      <w:r>
        <w:rPr>
          <w:rFonts w:ascii="Times New Roman" w:hAnsi="Times New Roman"/>
          <w:b/>
          <w:color w:val="000000"/>
          <w:sz w:val="20"/>
        </w:rPr>
        <w:t>CERTIFICATION</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Pursuant to 18 U.S.C. 1350 as adopted by 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the undersigned, Andrew J. McLean, Chief Executive Officer of Lands’ End, Inc. (the “Company”) and Bernard McCracken, Chief Financial Officer and Treasurer of the Company, has executed this certification in connection with the filing with the Securities and Exchange Commission of the Company’s Quarterly Report on Form 10-Q for the fiscal quarter ended October 31, 2025 (the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undersigned hereby certifies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380"/>
        <w:jc w:val="both"/>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249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2491"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Andrew J. McLean</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Andrew J. McLean</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(Principal Executive Officer)</w:t>
            </w:r>
          </w:p>
        </w:tc>
      </w:tr>
      <w:tr>
        <w:trPr/>
        <w:tc>
          <w:tcPr>
            <w:tcW w:w="24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Date: December 9, 2025</w:t>
            </w:r>
          </w:p>
        </w:tc>
      </w:tr>
    </w:tbl>
    <w:p>
      <w:pPr>
        <w:pStyle w:val="TextBody"/>
        <w:bidi w:val="0"/>
        <w:spacing w:before="300" w:after="140"/>
        <w:jc w:val="both"/>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3166"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Bernard McCracken</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Bernard McCracken</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(Principal Financial Officer)</w:t>
            </w:r>
          </w:p>
        </w:tc>
      </w:tr>
      <w:tr>
        <w:trPr/>
        <w:tc>
          <w:tcPr>
            <w:tcW w:w="316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Date: December 9, 2025</w:t>
            </w:r>
          </w:p>
        </w:tc>
      </w:tr>
      <w:tr>
        <w:trPr/>
        <w:tc>
          <w:tcPr>
            <w:tcW w:w="3166" w:type="dxa"/>
            <w:tcBorders/>
            <w:tcMar>
              <w:top w:w="0" w:type="dxa"/>
              <w:left w:w="0" w:type="dxa"/>
              <w:bottom w:w="0" w:type="dxa"/>
              <w:right w:w="0" w:type="dxa"/>
            </w:tcMar>
            <w:vAlign w:val="center"/>
          </w:tcPr>
          <w:p>
            <w:pPr>
              <w:pStyle w:val="TableContents"/>
              <w:bidi w:val="0"/>
              <w:spacing w:before="40" w:after="40"/>
              <w:jc w:val="left"/>
              <w:rPr/>
            </w:pPr>
            <w:r>
              <w:rPr/>
              <w:t> </w:t>
            </w:r>
          </w:p>
        </w:tc>
      </w:tr>
    </w:tbl>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99288/000156459022011688/le-ex31_240.htm" TargetMode="External"/><Relationship Id="rId3" Type="http://schemas.openxmlformats.org/officeDocument/2006/relationships/hyperlink" Target="https://www.sec.gov/Archives/edgar/data/799288/000095017024108752/le-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20523</Words>
  <Characters>112115</Characters>
  <CharactersWithSpaces>134073</CharactersWithSpaces>
  <Paragraphs>7116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