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Cole Charlie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 LANDS' END LANE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DODGEVILLE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53595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LANDS' END,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LE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4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109,361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109,361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109,361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11.43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166,018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07/13/2036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166,018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166,018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are time-based restricted stock units (RSUs) that will vest in three annual installments on July 13, 2027 (25%), July 13, 2028 (25%) and July 13, 2029 (50%), subject to certain vesting conditions and acceleration events. Each RSU represents a contingent right to receive one share of common stock upon satisfaction of the applicable vesting conditions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option will vest in three annual installments on July 13, 2027 (25%), July 13, 2028 (25%) and July 13, 2029 (50%), subject to certain vesting conditions and acceleration events.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Nathaniel Gaede as attorney-in-fact for Charlie Cole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43954" TargetMode="External"/><Relationship Id="rId5" Type="http://schemas.openxmlformats.org/officeDocument/2006/relationships/hyperlink" Target="http://www.sec.gov/cgi-bin/browse-edgar?action=getcompany&amp;CIK=000079928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675</Words>
  <Characters>3643</Characters>
  <CharactersWithSpaces>4247</CharactersWithSpaces>
  <Paragraphs>113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