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February 2, 2024</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 w:type="dxa"/>
            <w:vAlign w:val="bottom"/>
            <w:vMerge w:val="restart"/>
          </w:tcPr>
          <w:p>
            <w:pPr>
              <w:spacing w:after="0" w:line="151" w:lineRule="exact"/>
              <w:rPr>
                <w:sz w:val="20"/>
                <w:szCs w:val="20"/>
                <w:color w:val="auto"/>
              </w:rPr>
            </w:pPr>
            <w:r>
              <w:rPr>
                <w:rFonts w:ascii="MS PGothic" w:cs="MS PGothic" w:eastAsia="MS PGothic" w:hAnsi="MS PGothic"/>
                <w:sz w:val="15"/>
                <w:szCs w:val="15"/>
                <w:color w:val="auto"/>
                <w:highlight w:val="black"/>
              </w:rPr>
              <w:t>☐</w:t>
            </w:r>
          </w:p>
        </w:tc>
        <w:tc>
          <w:tcPr>
            <w:tcW w:w="6020" w:type="dxa"/>
            <w:vAlign w:val="bottom"/>
            <w:gridSpan w:val="2"/>
          </w:tcPr>
          <w:p>
            <w:pPr>
              <w:jc w:val="center"/>
              <w:ind w:left="4388"/>
              <w:spacing w:after="0"/>
              <w:rPr>
                <w:sz w:val="20"/>
                <w:szCs w:val="20"/>
                <w:color w:val="auto"/>
              </w:rPr>
            </w:pPr>
            <w:r>
              <w:rPr>
                <w:rFonts w:ascii="Times New Roman" w:cs="Times New Roman" w:eastAsia="Times New Roman" w:hAnsi="Times New Roman"/>
                <w:sz w:val="17"/>
                <w:szCs w:val="17"/>
                <w:b w:val="1"/>
                <w:bCs w:val="1"/>
                <w:color w:val="auto"/>
                <w:w w:val="97"/>
              </w:rPr>
              <w:t>-OR-</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5360" w:type="dxa"/>
            <w:vAlign w:val="bottom"/>
          </w:tcPr>
          <w:p>
            <w:pPr>
              <w:ind w:left="358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66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7"/>
                <w:szCs w:val="17"/>
                <w:color w:val="auto"/>
              </w:rPr>
            </w:pPr>
          </w:p>
        </w:tc>
        <w:tc>
          <w:tcPr>
            <w:tcW w:w="6600" w:type="dxa"/>
            <w:vAlign w:val="bottom"/>
            <w:gridSpan w:val="4"/>
          </w:tcPr>
          <w:p>
            <w:pPr>
              <w:jc w:val="center"/>
              <w:ind w:left="3828"/>
              <w:spacing w:after="0"/>
              <w:rPr>
                <w:sz w:val="20"/>
                <w:szCs w:val="20"/>
                <w:color w:val="auto"/>
              </w:rPr>
            </w:pPr>
            <w:r>
              <w:rPr>
                <w:rFonts w:ascii="Times New Roman" w:cs="Times New Roman" w:eastAsia="Times New Roman" w:hAnsi="Times New Roman"/>
                <w:sz w:val="13"/>
                <w:szCs w:val="13"/>
                <w:b w:val="1"/>
                <w:bCs w:val="1"/>
                <w:color w:val="auto"/>
              </w:rPr>
              <w:t>Commission File Number: 001-09769</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377"/>
        </w:trPr>
        <w:tc>
          <w:tcPr>
            <w:tcW w:w="3880" w:type="dxa"/>
            <w:vAlign w:val="bottom"/>
          </w:tcPr>
          <w:p>
            <w:pPr>
              <w:spacing w:after="0"/>
              <w:rPr>
                <w:sz w:val="24"/>
                <w:szCs w:val="24"/>
                <w:color w:val="auto"/>
              </w:rPr>
            </w:pPr>
          </w:p>
        </w:tc>
        <w:tc>
          <w:tcPr>
            <w:tcW w:w="7360" w:type="dxa"/>
            <w:vAlign w:val="bottom"/>
          </w:tcPr>
          <w:p>
            <w:pPr>
              <w:jc w:val="center"/>
              <w:ind w:right="3794"/>
              <w:spacing w:after="0"/>
              <w:rPr>
                <w:sz w:val="20"/>
                <w:szCs w:val="20"/>
                <w:color w:val="auto"/>
              </w:rPr>
            </w:pPr>
            <w:r>
              <w:rPr>
                <w:rFonts w:ascii="Times New Roman" w:cs="Times New Roman" w:eastAsia="Times New Roman" w:hAnsi="Times New Roman"/>
                <w:sz w:val="31"/>
                <w:szCs w:val="31"/>
                <w:b w:val="1"/>
                <w:bCs w:val="1"/>
                <w:color w:val="auto"/>
                <w:w w:val="98"/>
              </w:rPr>
              <w:t>Lands’ End, Inc.</w:t>
            </w:r>
          </w:p>
        </w:tc>
      </w:tr>
      <w:tr>
        <w:trPr>
          <w:trHeight w:val="178"/>
        </w:trPr>
        <w:tc>
          <w:tcPr>
            <w:tcW w:w="3880" w:type="dxa"/>
            <w:vAlign w:val="bottom"/>
          </w:tcPr>
          <w:p>
            <w:pPr>
              <w:spacing w:after="0"/>
              <w:rPr>
                <w:sz w:val="15"/>
                <w:szCs w:val="15"/>
                <w:color w:val="auto"/>
              </w:rPr>
            </w:pPr>
          </w:p>
        </w:tc>
        <w:tc>
          <w:tcPr>
            <w:tcW w:w="7360" w:type="dxa"/>
            <w:vAlign w:val="bottom"/>
          </w:tcPr>
          <w:p>
            <w:pPr>
              <w:jc w:val="center"/>
              <w:ind w:right="3774"/>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95"/>
        </w:trPr>
        <w:tc>
          <w:tcPr>
            <w:tcW w:w="3880" w:type="dxa"/>
            <w:vAlign w:val="bottom"/>
            <w:tcBorders>
              <w:bottom w:val="single" w:sz="8" w:color="auto"/>
            </w:tcBorders>
          </w:tcPr>
          <w:p>
            <w:pPr>
              <w:spacing w:after="0"/>
              <w:rPr>
                <w:sz w:val="8"/>
                <w:szCs w:val="8"/>
                <w:color w:val="auto"/>
              </w:rPr>
            </w:pPr>
          </w:p>
        </w:tc>
        <w:tc>
          <w:tcPr>
            <w:tcW w:w="7360" w:type="dxa"/>
            <w:vAlign w:val="bottom"/>
            <w:tcBorders>
              <w:bottom w:val="single" w:sz="8" w:color="auto"/>
            </w:tcBorders>
          </w:tcPr>
          <w:p>
            <w:pPr>
              <w:spacing w:after="0"/>
              <w:rPr>
                <w:sz w:val="8"/>
                <w:szCs w:val="8"/>
                <w:color w:val="auto"/>
              </w:rPr>
            </w:pPr>
          </w:p>
        </w:tc>
      </w:tr>
      <w:tr>
        <w:trPr>
          <w:trHeight w:val="269"/>
        </w:trPr>
        <w:tc>
          <w:tcPr>
            <w:tcW w:w="3880" w:type="dxa"/>
            <w:vAlign w:val="bottom"/>
          </w:tcPr>
          <w:p>
            <w:pPr>
              <w:jc w:val="center"/>
              <w:ind w:left="159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7360" w:type="dxa"/>
            <w:vAlign w:val="bottom"/>
          </w:tcPr>
          <w:p>
            <w:pPr>
              <w:jc w:val="center"/>
              <w:ind w:left="1774"/>
              <w:spacing w:after="0"/>
              <w:rPr>
                <w:sz w:val="20"/>
                <w:szCs w:val="20"/>
                <w:color w:val="auto"/>
              </w:rPr>
            </w:pPr>
            <w:r>
              <w:rPr>
                <w:rFonts w:ascii="Times New Roman" w:cs="Times New Roman" w:eastAsia="Times New Roman" w:hAnsi="Times New Roman"/>
                <w:sz w:val="15"/>
                <w:szCs w:val="15"/>
                <w:b w:val="1"/>
                <w:bCs w:val="1"/>
                <w:color w:val="auto"/>
              </w:rPr>
              <w:t>36-2512786</w:t>
            </w:r>
          </w:p>
        </w:tc>
      </w:tr>
      <w:tr>
        <w:trPr>
          <w:trHeight w:val="180"/>
        </w:trPr>
        <w:tc>
          <w:tcPr>
            <w:tcW w:w="3880" w:type="dxa"/>
            <w:vAlign w:val="bottom"/>
          </w:tcPr>
          <w:p>
            <w:pPr>
              <w:jc w:val="center"/>
              <w:ind w:left="157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7360" w:type="dxa"/>
            <w:vAlign w:val="bottom"/>
          </w:tcPr>
          <w:p>
            <w:pPr>
              <w:jc w:val="center"/>
              <w:ind w:left="177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880" w:type="dxa"/>
            <w:vAlign w:val="bottom"/>
          </w:tcPr>
          <w:p>
            <w:pPr>
              <w:jc w:val="center"/>
              <w:ind w:left="1570"/>
              <w:spacing w:after="0"/>
              <w:rPr>
                <w:sz w:val="20"/>
                <w:szCs w:val="20"/>
                <w:color w:val="auto"/>
              </w:rPr>
            </w:pPr>
            <w:r>
              <w:rPr>
                <w:rFonts w:ascii="Times New Roman" w:cs="Times New Roman" w:eastAsia="Times New Roman" w:hAnsi="Times New Roman"/>
                <w:sz w:val="13"/>
                <w:szCs w:val="13"/>
                <w:b w:val="1"/>
                <w:bCs w:val="1"/>
                <w:color w:val="auto"/>
              </w:rPr>
              <w:t>incorporation of organization)</w:t>
            </w:r>
          </w:p>
        </w:tc>
        <w:tc>
          <w:tcPr>
            <w:tcW w:w="7360" w:type="dxa"/>
            <w:vAlign w:val="bottom"/>
          </w:tcPr>
          <w:p>
            <w:pPr>
              <w:jc w:val="center"/>
              <w:ind w:left="177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bl>
    <w:p>
      <w:pPr>
        <w:spacing w:after="0" w:line="101" w:lineRule="exact"/>
        <w:rPr>
          <w:sz w:val="24"/>
          <w:szCs w:val="24"/>
          <w:color w:val="auto"/>
        </w:rPr>
      </w:pPr>
    </w:p>
    <w:p>
      <w:pPr>
        <w:sectPr>
          <w:pgSz w:w="11900" w:h="16838" w:orient="portrait"/>
          <w:cols w:equalWidth="0" w:num="1">
            <w:col w:w="11240"/>
          </w:cols>
          <w:pgMar w:left="320" w:top="1184" w:right="339" w:bottom="1440" w:gutter="0" w:footer="0" w:header="0"/>
        </w:sectPr>
      </w:pPr>
    </w:p>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1 Lands’ End Lane</w:t>
      </w:r>
    </w:p>
    <w:p>
      <w:pPr>
        <w:spacing w:after="0" w:line="10"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Dodgeville, Wisconsin</w:t>
      </w:r>
    </w:p>
    <w:p>
      <w:pPr>
        <w:spacing w:after="0" w:line="10"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39" w:lineRule="exact"/>
        <w:rPr>
          <w:sz w:val="24"/>
          <w:szCs w:val="24"/>
          <w:color w:val="auto"/>
        </w:rPr>
      </w:pPr>
    </w:p>
    <w:p>
      <w:pPr>
        <w:jc w:val="center"/>
        <w:ind w:left="3800"/>
        <w:spacing w:after="0"/>
        <w:rPr>
          <w:sz w:val="20"/>
          <w:szCs w:val="20"/>
          <w:color w:val="auto"/>
        </w:rPr>
      </w:pPr>
      <w:r>
        <w:rPr>
          <w:rFonts w:ascii="Times New Roman" w:cs="Times New Roman" w:eastAsia="Times New Roman" w:hAnsi="Times New Roman"/>
          <w:sz w:val="13"/>
          <w:szCs w:val="13"/>
          <w:b w:val="1"/>
          <w:bCs w:val="1"/>
          <w:color w:val="auto"/>
        </w:rPr>
        <w:t>(608) 935-9341</w:t>
      </w:r>
    </w:p>
    <w:p>
      <w:pPr>
        <w:spacing w:after="0" w:line="29" w:lineRule="exact"/>
        <w:rPr>
          <w:sz w:val="24"/>
          <w:szCs w:val="24"/>
          <w:color w:val="auto"/>
        </w:rPr>
      </w:pPr>
    </w:p>
    <w:p>
      <w:pPr>
        <w:jc w:val="center"/>
        <w:ind w:left="38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37"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Securities registered under Section 12(b) of the Exchange Act: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5"/>
          <w:szCs w:val="15"/>
          <w:b w:val="1"/>
          <w:bCs w:val="1"/>
          <w:color w:val="auto"/>
        </w:rPr>
        <w:t>53595</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807" w:lineRule="exact"/>
        <w:rPr>
          <w:sz w:val="24"/>
          <w:szCs w:val="24"/>
          <w:color w:val="auto"/>
        </w:rPr>
      </w:pPr>
    </w:p>
    <w:p>
      <w:pPr>
        <w:sectPr>
          <w:pgSz w:w="11900" w:h="16838" w:orient="portrait"/>
          <w:cols w:equalWidth="0" w:num="2">
            <w:col w:w="7460" w:space="720"/>
            <w:col w:w="3060"/>
          </w:cols>
          <w:pgMar w:left="320" w:top="1184" w:right="33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Title of each class</w:t>
            </w:r>
          </w:p>
        </w:tc>
        <w:tc>
          <w:tcPr>
            <w:tcW w:w="740" w:type="dxa"/>
            <w:vAlign w:val="bottom"/>
          </w:tcPr>
          <w:p>
            <w:pPr>
              <w:spacing w:after="0"/>
              <w:rPr>
                <w:sz w:val="15"/>
                <w:szCs w:val="15"/>
                <w:color w:val="auto"/>
              </w:rPr>
            </w:pPr>
          </w:p>
        </w:tc>
        <w:tc>
          <w:tcPr>
            <w:tcW w:w="2840" w:type="dxa"/>
            <w:vAlign w:val="bottom"/>
          </w:tcPr>
          <w:p>
            <w:pPr>
              <w:jc w:val="center"/>
              <w:ind w:left="873"/>
              <w:spacing w:after="0"/>
              <w:rPr>
                <w:sz w:val="20"/>
                <w:szCs w:val="20"/>
                <w:color w:val="auto"/>
              </w:rPr>
            </w:pPr>
            <w:r>
              <w:rPr>
                <w:rFonts w:ascii="Times New Roman" w:cs="Times New Roman" w:eastAsia="Times New Roman" w:hAnsi="Times New Roman"/>
                <w:sz w:val="13"/>
                <w:szCs w:val="13"/>
                <w:color w:val="auto"/>
              </w:rPr>
              <w:t>Trading Symbol(s)</w:t>
            </w: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41"/>
        </w:trPr>
        <w:tc>
          <w:tcPr>
            <w:tcW w:w="30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209"/>
        </w:trPr>
        <w:tc>
          <w:tcPr>
            <w:tcW w:w="3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 par value $0.01 per share</w:t>
            </w:r>
          </w:p>
        </w:tc>
        <w:tc>
          <w:tcPr>
            <w:tcW w:w="740" w:type="dxa"/>
            <w:vAlign w:val="bottom"/>
          </w:tcPr>
          <w:p>
            <w:pPr>
              <w:spacing w:after="0"/>
              <w:rPr>
                <w:sz w:val="18"/>
                <w:szCs w:val="18"/>
                <w:color w:val="auto"/>
              </w:rPr>
            </w:pPr>
          </w:p>
        </w:tc>
        <w:tc>
          <w:tcPr>
            <w:tcW w:w="2840" w:type="dxa"/>
            <w:vAlign w:val="bottom"/>
          </w:tcPr>
          <w:p>
            <w:pPr>
              <w:jc w:val="center"/>
              <w:ind w:left="873"/>
              <w:spacing w:after="0"/>
              <w:rPr>
                <w:sz w:val="20"/>
                <w:szCs w:val="20"/>
                <w:color w:val="auto"/>
              </w:rPr>
            </w:pPr>
            <w:r>
              <w:rPr>
                <w:rFonts w:ascii="Times New Roman" w:cs="Times New Roman" w:eastAsia="Times New Roman" w:hAnsi="Times New Roman"/>
                <w:sz w:val="13"/>
                <w:szCs w:val="13"/>
                <w:color w:val="auto"/>
              </w:rPr>
              <w:t>LE</w:t>
            </w: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41"/>
        </w:trPr>
        <w:tc>
          <w:tcPr>
            <w:tcW w:w="30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gridSpan w:val="3"/>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236"/>
        </w:trPr>
        <w:tc>
          <w:tcPr>
            <w:tcW w:w="3000" w:type="dxa"/>
            <w:vAlign w:val="bottom"/>
          </w:tcPr>
          <w:p>
            <w:pPr>
              <w:spacing w:after="0"/>
              <w:rPr>
                <w:sz w:val="20"/>
                <w:szCs w:val="20"/>
                <w:color w:val="auto"/>
              </w:rPr>
            </w:pPr>
          </w:p>
        </w:tc>
        <w:tc>
          <w:tcPr>
            <w:tcW w:w="8240" w:type="dxa"/>
            <w:vAlign w:val="bottom"/>
            <w:gridSpan w:val="5"/>
          </w:tcPr>
          <w:p>
            <w:pPr>
              <w:jc w:val="center"/>
              <w:ind w:right="2980"/>
              <w:spacing w:after="0"/>
              <w:rPr>
                <w:sz w:val="20"/>
                <w:szCs w:val="20"/>
                <w:color w:val="auto"/>
              </w:rPr>
            </w:pPr>
            <w:r>
              <w:rPr>
                <w:rFonts w:ascii="Times New Roman" w:cs="Times New Roman" w:eastAsia="Times New Roman" w:hAnsi="Times New Roman"/>
                <w:sz w:val="13"/>
                <w:szCs w:val="13"/>
                <w:b w:val="1"/>
                <w:bCs w:val="1"/>
                <w:color w:val="auto"/>
              </w:rPr>
              <w:t>Securities registered under Section 12(g) of the Exchange Act: None</w:t>
            </w:r>
          </w:p>
        </w:tc>
      </w:tr>
      <w:tr>
        <w:trPr>
          <w:trHeight w:val="135"/>
        </w:trPr>
        <w:tc>
          <w:tcPr>
            <w:tcW w:w="3740" w:type="dxa"/>
            <w:vAlign w:val="bottom"/>
            <w:gridSpan w:val="2"/>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r>
      <w:tr>
        <w:trPr>
          <w:trHeight w:val="270"/>
        </w:trPr>
        <w:tc>
          <w:tcPr>
            <w:tcW w:w="6580" w:type="dxa"/>
            <w:vAlign w:val="bottom"/>
            <w:gridSpan w:val="3"/>
          </w:tcPr>
          <w:p>
            <w:pPr>
              <w:ind w:left="500"/>
              <w:spacing w:after="0" w:line="138" w:lineRule="exact"/>
              <w:rPr>
                <w:sz w:val="20"/>
                <w:szCs w:val="20"/>
                <w:color w:val="auto"/>
              </w:rPr>
            </w:pPr>
            <w:r>
              <w:rPr>
                <w:rFonts w:ascii="Times New Roman" w:cs="Times New Roman" w:eastAsia="Times New Roman" w:hAnsi="Times New Roman"/>
                <w:sz w:val="12"/>
                <w:szCs w:val="12"/>
                <w:color w:val="auto"/>
                <w:w w:val="99"/>
              </w:rPr>
              <w:t xml:space="preserve">Indicate by check mark if the registrant is a well-known seasoned issuer, as defined in Rule 405 of the Securities Act.  YES </w:t>
            </w:r>
            <w:r>
              <w:rPr>
                <w:rFonts w:ascii="MS PGothic" w:cs="MS PGothic" w:eastAsia="MS PGothic" w:hAnsi="MS PGothic"/>
                <w:sz w:val="12"/>
                <w:szCs w:val="12"/>
                <w:color w:val="auto"/>
                <w:w w:val="99"/>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w:t>
            </w:r>
          </w:p>
        </w:tc>
        <w:tc>
          <w:tcPr>
            <w:tcW w:w="4440" w:type="dxa"/>
            <w:vAlign w:val="bottom"/>
            <w:gridSpan w:val="2"/>
          </w:tcPr>
          <w:p>
            <w:pPr>
              <w:ind w:left="40"/>
              <w:spacing w:after="0" w:line="121" w:lineRule="exact"/>
              <w:rPr>
                <w:sz w:val="20"/>
                <w:szCs w:val="20"/>
                <w:color w:val="auto"/>
              </w:rPr>
            </w:pPr>
            <w:r>
              <w:rPr>
                <w:rFonts w:ascii="MS PGothic" w:cs="MS PGothic" w:eastAsia="MS PGothic" w:hAnsi="MS PGothic"/>
                <w:sz w:val="12"/>
                <w:szCs w:val="12"/>
                <w:color w:val="auto"/>
              </w:rPr>
              <w:t>☒</w:t>
            </w:r>
          </w:p>
        </w:tc>
      </w:tr>
      <w:tr>
        <w:trPr>
          <w:trHeight w:val="196"/>
        </w:trPr>
        <w:tc>
          <w:tcPr>
            <w:tcW w:w="658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w w:val="98"/>
              </w:rPr>
              <w:t>Indicate by check mark if the registrant is not required to file reports pursuant to Section 13 or 15(d) of the Exchange Act.  YES</w:t>
            </w:r>
          </w:p>
        </w:tc>
        <w:tc>
          <w:tcPr>
            <w:tcW w:w="22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44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bl>
    <w:p>
      <w:pPr>
        <w:jc w:val="both"/>
        <w:ind w:firstLine="494"/>
        <w:spacing w:after="0" w:line="14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jc w:val="both"/>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jc w:val="both"/>
        <w:ind w:firstLine="494"/>
        <w:spacing w:after="0" w:line="25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96"/>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48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Accelerated filer</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24"/>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48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24"/>
        </w:trPr>
        <w:tc>
          <w:tcPr>
            <w:tcW w:w="1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Emerging growth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40" w:lineRule="exact"/>
        <w:rPr>
          <w:sz w:val="24"/>
          <w:szCs w:val="24"/>
          <w:color w:val="auto"/>
        </w:rPr>
      </w:pPr>
    </w:p>
    <w:p>
      <w:pPr>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 w:lineRule="exact"/>
        <w:rPr>
          <w:sz w:val="24"/>
          <w:szCs w:val="24"/>
          <w:color w:val="auto"/>
        </w:rPr>
      </w:pPr>
    </w:p>
    <w:p>
      <w:pPr>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ind w:firstLine="494"/>
        <w:spacing w:after="0" w:line="149"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6" w:lineRule="exact"/>
        <w:rPr>
          <w:sz w:val="24"/>
          <w:szCs w:val="24"/>
          <w:color w:val="auto"/>
        </w:rPr>
      </w:pPr>
    </w:p>
    <w:p>
      <w:pPr>
        <w:ind w:right="20"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ind w:left="500"/>
        <w:spacing w:after="0" w:line="138" w:lineRule="exact"/>
        <w:tabs>
          <w:tab w:leader="none" w:pos="5420" w:val="left"/>
          <w:tab w:leader="none" w:pos="592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38" w:lineRule="exact"/>
        <w:rPr>
          <w:sz w:val="24"/>
          <w:szCs w:val="24"/>
          <w:color w:val="auto"/>
        </w:rPr>
      </w:pPr>
    </w:p>
    <w:p>
      <w:pPr>
        <w:ind w:firstLine="494"/>
        <w:spacing w:after="0" w:line="241" w:lineRule="auto"/>
        <w:rPr>
          <w:sz w:val="20"/>
          <w:szCs w:val="20"/>
          <w:color w:val="auto"/>
        </w:rPr>
      </w:pPr>
      <w:r>
        <w:rPr>
          <w:rFonts w:ascii="Times New Roman" w:cs="Times New Roman" w:eastAsia="Times New Roman" w:hAnsi="Times New Roman"/>
          <w:sz w:val="12"/>
          <w:szCs w:val="12"/>
          <w:color w:val="auto"/>
        </w:rPr>
        <w:t>The aggregate market value (based on the closing price of the registrant’s common stock quoted on the Nasdaq Stock Market) of the registrant’s common stock owned by non-affiliates, as of July 28, 2023, the last business day of the registrant’s most recently completed second fiscal quarter, was approximately $136.8 million.</w:t>
      </w:r>
    </w:p>
    <w:p>
      <w:pPr>
        <w:spacing w:after="0" w:line="1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2"/>
          <w:szCs w:val="12"/>
          <w:color w:val="auto"/>
        </w:rPr>
        <w:t>As of April 1, 2024, the registrant had 31,491,974 shares of common stock, $0.01 par value, outstanding.</w:t>
      </w:r>
    </w:p>
    <w:p>
      <w:pPr>
        <w:spacing w:after="0" w:line="149"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0" w:lineRule="exact"/>
        <w:rPr>
          <w:sz w:val="24"/>
          <w:szCs w:val="24"/>
          <w:color w:val="auto"/>
        </w:rPr>
      </w:pPr>
    </w:p>
    <w:p>
      <w:pPr>
        <w:ind w:firstLine="499"/>
        <w:spacing w:after="0" w:line="255" w:lineRule="auto"/>
        <w:rPr>
          <w:sz w:val="20"/>
          <w:szCs w:val="20"/>
          <w:color w:val="auto"/>
        </w:rPr>
      </w:pPr>
      <w:r>
        <w:rPr>
          <w:rFonts w:ascii="Times New Roman" w:cs="Times New Roman" w:eastAsia="Times New Roman" w:hAnsi="Times New Roman"/>
          <w:sz w:val="12"/>
          <w:szCs w:val="12"/>
          <w:color w:val="auto"/>
        </w:rPr>
        <w:t>Portions of the registrant’s Proxy Statement relating to the registrant’s 2024 Annual Meeting of Stockholders (the “Proxy Statement”), to be held on May 9, 2024, are incorporated by reference into Part III of this Annual Report on Form 10-K where indicated. The Proxy Statement will be filed with the U.S. Securities and Exchange Commission within 120 days after the end of the fiscal year to which this report relates.</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50"/>
        </w:trPr>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Auditor Firm Id:</w:t>
            </w:r>
          </w:p>
        </w:tc>
        <w:tc>
          <w:tcPr>
            <w:tcW w:w="13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243</w:t>
            </w:r>
          </w:p>
        </w:tc>
        <w:tc>
          <w:tcPr>
            <w:tcW w:w="18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Auditor Name:</w:t>
            </w:r>
          </w:p>
        </w:tc>
        <w:tc>
          <w:tcPr>
            <w:tcW w:w="200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BDO USA, P.C.</w:t>
            </w:r>
          </w:p>
        </w:tc>
        <w:tc>
          <w:tcPr>
            <w:tcW w:w="17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Auditor Location:</w:t>
            </w:r>
          </w:p>
        </w:tc>
        <w:tc>
          <w:tcPr>
            <w:tcW w:w="30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Madison, WI, United States</w:t>
            </w:r>
          </w:p>
        </w:tc>
      </w:tr>
      <w:tr>
        <w:trPr>
          <w:trHeight w:val="162"/>
        </w:trPr>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Auditor Firm Id:</w:t>
            </w:r>
          </w:p>
        </w:tc>
        <w:tc>
          <w:tcPr>
            <w:tcW w:w="13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34</w:t>
            </w:r>
          </w:p>
        </w:tc>
        <w:tc>
          <w:tcPr>
            <w:tcW w:w="18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Auditor Name:</w:t>
            </w:r>
          </w:p>
        </w:tc>
        <w:tc>
          <w:tcPr>
            <w:tcW w:w="200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Deloitte &amp; Touche LLP</w:t>
            </w:r>
          </w:p>
        </w:tc>
        <w:tc>
          <w:tcPr>
            <w:tcW w:w="17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Auditor Location:</w:t>
            </w:r>
          </w:p>
        </w:tc>
        <w:tc>
          <w:tcPr>
            <w:tcW w:w="30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Chicago, IL, United States</w:t>
            </w:r>
          </w:p>
        </w:tc>
      </w:tr>
      <w:tr>
        <w:trPr>
          <w:trHeight w:val="1364"/>
        </w:trPr>
        <w:tc>
          <w:tcPr>
            <w:tcW w:w="1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gridSpan w:val="9"/>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LANDS’ END, INC.</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20" w:type="dxa"/>
            <w:vAlign w:val="bottom"/>
            <w:gridSpan w:val="1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20" w:type="dxa"/>
            <w:vAlign w:val="bottom"/>
            <w:gridSpan w:val="9"/>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31"/>
        </w:trPr>
        <w:tc>
          <w:tcPr>
            <w:tcW w:w="106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7320" w:type="dxa"/>
            <w:vAlign w:val="bottom"/>
            <w:gridSpan w:val="15"/>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898"/>
        </w:trPr>
        <w:tc>
          <w:tcPr>
            <w:tcW w:w="1060" w:type="dxa"/>
            <w:vAlign w:val="bottom"/>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4160" w:type="dxa"/>
            <w:vAlign w:val="bottom"/>
            <w:gridSpan w:val="14"/>
          </w:tcPr>
          <w:p>
            <w:pPr>
              <w:jc w:val="center"/>
              <w:ind w:left="3430"/>
              <w:spacing w:after="0"/>
              <w:rPr>
                <w:sz w:val="20"/>
                <w:szCs w:val="20"/>
                <w:color w:val="auto"/>
              </w:rPr>
            </w:pPr>
            <w:r>
              <w:rPr>
                <w:rFonts w:ascii="Times New Roman" w:cs="Times New Roman" w:eastAsia="Times New Roman" w:hAnsi="Times New Roman"/>
                <w:sz w:val="18"/>
                <w:szCs w:val="18"/>
                <w:color w:val="auto"/>
                <w:w w:val="88"/>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references to the “Company”, “Lands’ End”, “we”, “us”, “our” and similar terms refer to Lands’ End, Inc. and its subsidiaries. Our fiscal year ends on the Friday preceding the Saturday closest to January 31. Other terms commonly used in this Annual Report on Form 10-K are defined as follows:</w:t>
      </w:r>
    </w:p>
    <w:p>
      <w:pPr>
        <w:spacing w:after="0" w:line="65" w:lineRule="exact"/>
        <w:rPr>
          <w:sz w:val="20"/>
          <w:szCs w:val="20"/>
          <w:color w:val="auto"/>
        </w:rPr>
      </w:pPr>
    </w:p>
    <w:p>
      <w:pPr>
        <w:ind w:left="1000" w:hanging="493"/>
        <w:spacing w:after="0" w:line="284"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ABL Facility – Asset-based senior secured credit agreements, providing for a revolving facility, dated as of November 16, 2017, with Wells Fargo, N.A. and certain other lenders, as amended to date</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 – Net income/(loss) appearing on the Consolidated Statements of Operations net of Income tax expense/(benefit), Interest expense, Depreciation and amortization and other significant items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ASC – Financial Accounting Standards Board Accounting Standards Codification, which serves as the source for authoritative GAAP, as supplemented by rules and interpretive releases by the SEC which are also sources of authoritative GAAP for SEC registrants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net income (loss) – Net income (loss) appearing on the Consolidated Statements of Operations excluding significant non-recurring or non-operational items. Adjusted net income (loss) is also presented on a diluted per share basis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Operated stores – Lands’ End retail stores in the Retail distribution channel</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Term Loan Facility – Term loan credit agreement, dated as of December 29, 2023, among the Company, Blue Torch Capital, as Administrative Agent and Collateral Agent, and the lenders party thereto</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Facilities – Collectively, the Current Term Loan Facility and ABL Facility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2024 – The 13 weeks ending May 3,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2024 – The 52 weeks ending January 31, 2025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2023 – The 53 weeks ended February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2022 – The 52 weeks ended January 27, 2023</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2021 – The 52 weeks ended January 28, 2022</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Former Term Loan Facility – Term loan credit agreement, dated as of September 9, 2020, among the Company, Fortress Credit Corp., as Administrative Agent and Collateral Agent, and the lenders party thereto</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2023 – The 14 weeks ended February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GAAP – Accounting principles generally accepted in the United States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LIBOR – London inter-bank offered rate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 – United States Securities and Exchange Commission</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2023 – The 13 weeks ended July 28, 2023</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2022 – The 13 weeks ended July 29, 2022</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SOFR – Secured Overnight Funding Rate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ind w:left="100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Adjusted SOFR – SOFR plus adjustments of either (a) 0.11448% for a one-month interest period, (b) 0.26161% for a three-month interest period, or (c) 0.42826% for a six-month interest period</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Quarter 2023 – The 13 weeks ended October 27, 2023</w:t>
      </w:r>
    </w:p>
    <w:p>
      <w:pPr>
        <w:spacing w:after="0" w:line="11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Lands’ End, Inc. is a leading digital retailer of solution-based apparel, swimwear, outerwear, accessories, footwear, home products and uniforms. We offer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through third-party distribution channels and our own Company Operated stores. We also offer products to businesses and schools, for their employees and students, through the Outfitters distribution channel. We are a classic American lifestyle brand that creates solutions for life’s every journey.</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spacing w:after="0" w:line="68"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 xml:space="preserve">We have one external reportable segment and identify our operating segments according to how our business activities are managed and evaluated. During Fiscal 2023, our operating segments consisted of: U.S. eCommerce, Europe eCommerce, Outfitters, Third Party and Retail. During Fiscal 2022, our operating segments also included Japan eCommerce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 We have determined that each of our operating segments share similar economic and other qualitative characteristics, and therefore, the results of our operating segments are aggregated into one external reportable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Lands’ End identifies five separate distribution channels for revenue reporting purposes.</w:t>
      </w:r>
    </w:p>
    <w:p>
      <w:pPr>
        <w:spacing w:after="0" w:line="115" w:lineRule="exact"/>
        <w:rPr>
          <w:sz w:val="20"/>
          <w:szCs w:val="20"/>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our eCommerce website.</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products primarily to consumers located in Europe and through eCommerce international websites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the same products as U.S. eCommerce but direct to consumers through third-party marketplace websites and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wholesale relationships.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Fiscal 2023, we generated Net revenue of approximately $1.47 billion. Net revenue was generated worldwide with operations based in the United States, United Kingdom, and Germany. This network reinforces and supports sales across the distribution channels in which we do business. Net revenue is presented by distribution channel in the following table:</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204"/>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U.S. eCommerce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930,314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955,752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1,027,138</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62.8%</w:t>
            </w:r>
          </w:p>
        </w:tc>
      </w:tr>
      <w:tr>
        <w:trPr>
          <w:trHeight w:val="26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112,855</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166,627</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220,997</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1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269,943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265,898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254,191</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w:t>
            </w: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1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111,826</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118,996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86,517</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w:t>
            </w:r>
          </w:p>
        </w:tc>
      </w:tr>
      <w:tr>
        <w:trPr>
          <w:trHeight w:val="25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47,570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48,156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47,781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1,472,508</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1,555,429</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1,636,624</w:t>
            </w:r>
          </w:p>
        </w:tc>
        <w:tc>
          <w:tcPr>
            <w:tcW w:w="90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57"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Fiscal 2022 and Fiscal 2021 includes Net revenue of $32.7 million and $43.3 million, respectively, from the Japan eCommerce distribution channel. See Note 8, </w:t>
      </w:r>
      <w:r>
        <w:rPr>
          <w:rFonts w:ascii="Times New Roman" w:cs="Times New Roman" w:eastAsia="Times New Roman" w:hAnsi="Times New Roman"/>
          <w:sz w:val="13"/>
          <w:szCs w:val="13"/>
          <w:i w:val="1"/>
          <w:iCs w:val="1"/>
          <w:color w:val="auto"/>
        </w:rPr>
        <w:t>Lands’ End Japan Closure</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Fiscal 2023, we fulfilled orders to customers in approximately 135 countries outside the United States, totaling approximately 9% of Net revenue.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by the geographical location where the product is shipped is as follows: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204"/>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1,342,366</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1,368,518</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1,393,402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85.1%</w:t>
            </w:r>
          </w:p>
        </w:tc>
      </w:tr>
      <w:tr>
        <w:trPr>
          <w:trHeight w:val="221"/>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4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114,778</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135,878</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179,302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Asia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569</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33,451</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44,383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w:t>
            </w: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14,795</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17,582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19,537</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1,472,508</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1,555,429</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1,636,624</w:t>
            </w:r>
          </w:p>
        </w:tc>
        <w:tc>
          <w:tcPr>
            <w:tcW w:w="90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Fiscal 2022 and Fiscal 2021 includes Net revenue of $32.7 million and $43.3 million, respectively, from the Japan eCommerce distribution channel. See Note 8, </w:t>
      </w:r>
      <w:r>
        <w:rPr>
          <w:rFonts w:ascii="Times New Roman" w:cs="Times New Roman" w:eastAsia="Times New Roman" w:hAnsi="Times New Roman"/>
          <w:sz w:val="13"/>
          <w:szCs w:val="13"/>
          <w:i w:val="1"/>
          <w:iCs w:val="1"/>
          <w:color w:val="auto"/>
        </w:rPr>
        <w:t>Lands’ End Japan Closure</w:t>
      </w:r>
      <w:r>
        <w:rPr>
          <w:rFonts w:ascii="Times New Roman" w:cs="Times New Roman" w:eastAsia="Times New Roman" w:hAnsi="Times New Roman"/>
          <w:sz w:val="13"/>
          <w:szCs w:val="13"/>
          <w:color w:val="auto"/>
        </w:rPr>
        <w:t>.</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Long-lived assets by geographical location, which includes Property and equipment, net, are as follows: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4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Fiscal 2021</w:t>
            </w:r>
          </w:p>
        </w:tc>
      </w:tr>
      <w:tr>
        <w:trPr>
          <w:trHeight w:val="204"/>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111,254</w:t>
            </w:r>
          </w:p>
        </w:tc>
        <w:tc>
          <w:tcPr>
            <w:tcW w:w="2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120,311</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121,259</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7,879</w:t>
            </w:r>
          </w:p>
        </w:tc>
      </w:tr>
      <w:tr>
        <w:trPr>
          <w:trHeight w:val="242"/>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653</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Total long-lived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118,033</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127,638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129,791</w:t>
            </w: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continue to leverage our iconic American brand, which was founded on the principles of delivering great quality, uncompromising service and exceptional value to our customers. We are a vertically integrated digital retailer that manages most aspects of our design, marketing and distribution in-house. In Fiscal 2024, we plan to focus on the following five strategic pillars:</w:t>
      </w:r>
    </w:p>
    <w:p>
      <w:pPr>
        <w:spacing w:after="0" w:line="64" w:lineRule="exact"/>
        <w:rPr>
          <w:sz w:val="20"/>
          <w:szCs w:val="20"/>
          <w:color w:val="auto"/>
        </w:rPr>
      </w:pPr>
    </w:p>
    <w:p>
      <w:pPr>
        <w:jc w:val="both"/>
        <w:ind w:firstLine="4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Obsessed. </w:t>
      </w:r>
      <w:r>
        <w:rPr>
          <w:rFonts w:ascii="Times New Roman" w:cs="Times New Roman" w:eastAsia="Times New Roman" w:hAnsi="Times New Roman"/>
          <w:sz w:val="18"/>
          <w:szCs w:val="18"/>
          <w:color w:val="auto"/>
        </w:rPr>
        <w:t>At Lands’ End, we are customer obsessed and strive to bring our customer what they want, when they want it and where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want it, regardless of the product category or means they use to shop our brand. We are focused on further penetrating our existing customer base and seek to build their loyalty through cross-category shopping, as well as introducing new customers to our brand. Additionally, we are focused on creating more personal and compelling journeys geared toward our targeted key customer cohorts to drive higher quality sales with more productive inventories. We strive to operate with lower inventory levels to provide flexibility to refresh our assortment with new styles and fabrics on an ongoing basis.</w:t>
      </w:r>
    </w:p>
    <w:p>
      <w:pPr>
        <w:spacing w:after="0" w:line="71"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to Solve Life’s Issues. </w:t>
      </w:r>
      <w:r>
        <w:rPr>
          <w:rFonts w:ascii="Times New Roman" w:cs="Times New Roman" w:eastAsia="Times New Roman" w:hAnsi="Times New Roman"/>
          <w:sz w:val="18"/>
          <w:szCs w:val="18"/>
          <w:color w:val="auto"/>
        </w:rPr>
        <w:t>We plan to continue our solutions-focused merchandising strategy which drove higher quality sales resulting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enhanced gross margins and improved cash flow in Fiscal 2023 across key items, categories and franchises including swimwear, outerwear, bottoms, and school and business uniforms.</w:t>
      </w:r>
    </w:p>
    <w:p>
      <w:pPr>
        <w:spacing w:after="0" w:line="63"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Digitally Native. </w:t>
      </w:r>
      <w:r>
        <w:rPr>
          <w:rFonts w:ascii="Times New Roman" w:cs="Times New Roman" w:eastAsia="Times New Roman" w:hAnsi="Times New Roman"/>
          <w:sz w:val="18"/>
          <w:szCs w:val="18"/>
          <w:color w:val="auto"/>
        </w:rPr>
        <w:t>Lands’ End maintains a leading digital presence in both our business-to-consumer and business-to-business digital markets.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90% of our business being done online, we seek to leverage data and analytics to drive higher quality sales with improved gross margins and increased gross profit. Digital operations is a core competency and our conversion rate is consistently greater than two times apparel industry norms.</w:t>
      </w:r>
    </w:p>
    <w:p>
      <w:pPr>
        <w:spacing w:after="0" w:line="63" w:lineRule="exact"/>
        <w:rPr>
          <w:sz w:val="20"/>
          <w:szCs w:val="20"/>
          <w:color w:val="auto"/>
        </w:rPr>
      </w:pPr>
    </w:p>
    <w:p>
      <w:pPr>
        <w:jc w:val="both"/>
        <w:ind w:firstLine="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Innovation. </w:t>
      </w:r>
      <w:r>
        <w:rPr>
          <w:rFonts w:ascii="Times New Roman" w:cs="Times New Roman" w:eastAsia="Times New Roman" w:hAnsi="Times New Roman"/>
          <w:sz w:val="18"/>
          <w:szCs w:val="18"/>
          <w:color w:val="auto"/>
        </w:rPr>
        <w:t>Lands’ End has long been an innovator, epitomized as being an early adopter of eCommerce for apparel retail, through our embrace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analytics to better organize our business and service our customers. We strive to be innovative throughout our business to drive stronger results. We are focused on advancing our technologies, challenging ourselves to think and operate differently, embracing change, testing and learning, and applying our learning to best serve evolving customer needs.</w:t>
      </w:r>
    </w:p>
    <w:p>
      <w:pPr>
        <w:spacing w:after="0" w:line="68"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Stakeholder Responsibility. </w:t>
      </w:r>
      <w:r>
        <w:rPr>
          <w:rFonts w:ascii="Times New Roman" w:cs="Times New Roman" w:eastAsia="Times New Roman" w:hAnsi="Times New Roman"/>
          <w:sz w:val="18"/>
          <w:szCs w:val="18"/>
          <w:color w:val="auto"/>
        </w:rPr>
        <w:t>Lands’ End is committed to serving all of our stakeholders – our customers, our shareholders, our hard 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dedicated employees and the supportive communities in which we operate. Our goal is to drive deep and meaningful engagement with all stakeholders to achieve our collective goals.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were founded in 1963, incorporated in Delaware in 1986, and our common stock was listed on the New York Stock Exchange from 1986 to 2002. On June 17, 2002, we became a wholly-owned subsidiary of Sears Roebuck and Co., a wholly-owned subsidiary of Sears Holdings Corporation and its consolidated subsidiaries (“Sears Holdings”). On April 4, 2014, Sears Holdings distributed 100 percent of the outstanding common stock of Lands’ End to its stockholders and our common stock was listed on the Nasdaq Stock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operate primarily in the apparel industry which is highly competitive. We compete with a diverse group of direct-to-consumer companies and retailers, including national department store chains, women’s and men’s specialty apparel chains, outdoor specialty stores, apparel catalog businesses, sportswear marketers and online apparel businesses that sell similar lines of merchandise. We compete principally on the basis of providing solutions for our customer’s needs through merchandise value (quality and price), product attributes and innovation, our established customer file and award-winning customer service.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We experience seasonal fluctuations in our net revenue and operating results and historically have realized a significant portion of our yearly net revenue and earnings during our fourth fiscal quarter. We generated approximately 34.0% of our yearly net revenue in the fourth quarters of Fiscal 2023, Fiscal 2022 and Fiscal 2021. Lower than expected fourth quarter net revenue could have an adverse impact on our annual operating results. See also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w:t>
      </w:r>
    </w:p>
    <w:p>
      <w:pPr>
        <w:spacing w:after="0" w:line="72"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working capital requirements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Lands’ End owns or has rights to use certain word and design trademarks, service marks, and trade names that are registered or exist under common law in the United States and other jurisdictions. The Lands’ End® trade name and trademark are used both in the United States and internationally and are material to our business. Trademarks that we commonly use to identify and distinguish our products and services are Lands’ End Lighthouse®, Squall®, Tugless Tank®, Drifter™, Outrigger®, Marinac®, and Beach Living®, all of which are owned by us, as well as the licensed marks Supima®, No-Gape®, and others. Other recognized trademarks owned by Lands’ End includes Starfish™, Little Black Suit™, Iron Knees®, Hyde Park®, Year’Rounder®, ClassMate®, Willis &amp; Geiger® and ThermaCheck®. Lands’ End’s rights to some of these trademarks are limited to select markets.</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During Fiscal 2023, we entered into licensing agreements for the Costco distribution channel, and all footwear products and all kids categories, excluding school uniforms. We expect to begin generating income from these licenses starting in Fiscal 2024. In line with our asset-light strategy, we will continue to explore additional licensing relationships.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Design and Merchandising</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seek to develop new, innovative products that provide solutions for our customers’ needs by utilizing modern fabrics and quality construction to create timeless, affordable styles with excellent fit. We also seek to present our products in an engaging and inspiring way. We devote significant time and resources to quality assurance, fit testing and product compliance.</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product teams seek to determine optimal inventory levels that align with merchandising and marketing plans and initiatives. The product team also supports efforts to optimize product margin through active management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in-season promotions and post-season clearance activities. In addition, the product teams partner with our global sourcing team through long range planning efforts designed to better manage global supply chain costs.</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Consistent with our merchandising strategy, we make inventory investments intended to support the growth of key products. In addition, we strive to improve assortment efficiency to increase seasonal sell through. We continue to leverage technology solutions to assist us in these strategic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Vendors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products are produced globally by independent manufacturers who are selected, monitored and coordinated by our sourcing team and external sourcing experts. In Fiscal 2023, the top five countries where our vendors are located accounted for approximately 70% of our merchandise purchases in dollars. Our products are manufactured in approximately 20 countries and the majority are imported from Asia and South America.</w:t>
      </w:r>
    </w:p>
    <w:p>
      <w:pPr>
        <w:spacing w:after="0" w:line="68"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In Fiscal 2023, our top 10 vendors accounted for approximately 48% of our merchandise purchases in dollars and we worked with approximately 120 vendors that manufactured substantially all of our products. We generally do not enter into long-term merchandise supply contracts. We continue to take advantage of opportunities to more efficiently source our products worldwide, consistent with our high standards of quality and value. Significant areas of non-product spend include logistics, information systems, marketing, packaging and catalog paper and print. We use third-party shipping companies to transport the product to our facilities. Our reliance on imported products has certain risks related to disruptions in countries of manufacture, port congestion, transportation delays and heightened security measures that have affected, and could in the future affect, timely deliveries of product to our points of distribution.</w:t>
      </w:r>
    </w:p>
    <w:p>
      <w:pPr>
        <w:spacing w:after="0" w:line="8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It is important to us that our partners share the same core values as we do. Therefore, we require that all vendors comply with applicable legal requirements, agree to our global compliance requirements and meet our product quality standards. Our vendors are required to provide us with full access to their facilities and to relevant records relating to their employment practices, such as, but not limited to, child labor, wages and benefits, forced labor, discrimination, freedom of association, unlawful inducements, safe and healthy working conditions and other business practices so that we may monitor their compliance with ethical and legal requirements relating to the conduct of their business. See also Item 1A</w:t>
      </w:r>
      <w:r>
        <w:rPr>
          <w:rFonts w:ascii="Times New Roman" w:cs="Times New Roman" w:eastAsia="Times New Roman" w:hAnsi="Times New Roman"/>
          <w:sz w:val="18"/>
          <w:szCs w:val="18"/>
          <w:i w:val="1"/>
          <w:iCs w:val="1"/>
          <w:color w:val="auto"/>
        </w:rPr>
        <w:t>, Risk Factors,</w:t>
      </w:r>
      <w:r>
        <w:rPr>
          <w:rFonts w:ascii="Times New Roman" w:cs="Times New Roman" w:eastAsia="Times New Roman" w:hAnsi="Times New Roman"/>
          <w:sz w:val="18"/>
          <w:szCs w:val="18"/>
          <w:color w:val="auto"/>
        </w:rPr>
        <w:t xml:space="preserve"> in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Citizenship</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Lands’ End is working towards improving its sustainable footprint through key practices like waste reduction, purchasing recycled consumables and corporate partnerships. Lands’ End hopes to inspire customers and other corporations to increase sustainability awareness and initiatives.</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a focus on raising awareness and educating our employees on reducing our internal use of consumables and natural resources. In addition, we have a broad range of recycling and waste management initiatives at our corporate office and distribution centers. For example, we are reducing our use of office paper products and plastics, we recycle aluminum cans and glass and work with partners to reuse electronic equipment before recycling, as well as disposal of non-recyclables with an on-campus composting site. We also focus on efficient water and energy management programs.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Lands’ End has formed strategic relationships to support habitats and watersheds throughout the United States and in our local area of Wisconsin. The Natural Forest Foundation and Lands’ End have made an impact in the last ten years, planting over 1.5 million trees in national forests. Since 2010, Lands’ End has been a founding and corporate partner of the Clean Lakes Alliance, which helps with education and protecting and improving the quality of local parks and lakes in Wisconsin.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believe that our most important asset is our brand. Lands’ End is well-recognized and has a deeply rooted tradition of excellent quality, value and service. Lands’ End is an iconic American brand with a large and loyal customer base.</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invest significantly in brand development through our focus on providing excellent customer service, emphasis on digital and innovative product development. We believe that this commitment to our brand has helped to generate our large and loyal customer base for over sixty years.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We attempt to build on our brand recognition through multi-channel marketing campaigns including through our eCommerce website,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catalog distribution, digital marketing and social media. Creative designs for these marketing platforms are developed in-house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creative team with supplemental work by external agencies on a project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are committed to building on Lands’ End’s legacy of strong customer service. We believe we have a strong track record of improving the customer service experience through innovation. Lands’ End is focused on using our extensive customer data to make the shopping experience as effortless and personalized as possible. Customer service agents are available on the phone, via chat, email and social media, and we maintain a digital self-service platform. These all have contributed to our award-winning customer service, which we believe is one of our core strengths and a key point of differentiation from our competitors.</w:t>
      </w:r>
    </w:p>
    <w:p>
      <w:pPr>
        <w:spacing w:after="0" w:line="7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have received many accolades over the years and most recently Lands’ End was included in the Newsweek list of America’s Best Customer Service in 2023, 2022 and 2021, ranking No. 2 for 2023 and 2022 and No.1 for 2021 for best customer service in the Online Retailers: Clothing in the Apparel category.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and operate three distribution centers in Wisconsin. Our Dodgeville facility is approximately 1.3 million square feet, our Reedsburg facility is approximately 550,000 square feet and our Stevens Point facility is approximately 150,000 square feet. Our customer orders are shipped via third-party carriers.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own and operate a distribution center in the United Kingdom based in Oakham, a community north of London. Our Oakham facility is approximately 185,000 square feet.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Lands’ End employs a variety of third-party and internally-developed systems to enhance our customer experience and support efficient, cost-effective operations. In support of our business strategies, we implement new solutions and upgrade existing ones to offer, sell and fulfill our products through Lands’ End distribution channels and with wholesale partners, licensees and external marketplaces. See also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Philosophy and Approach</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Since our founding in 1963, Lands’ End has recognized that our people are a critical asset. People, the individuals we employ, the customers we serve, and their families, are the heart of our company. We are committed to creating an inspiring culture that is welcoming, safe and inclusive for all who work and shop with us. Our founder, Gary Comer set the foundation with this quote: “The really important thing that makes Lands’ End what it has become is people. You, me, everyone around us. It is what we do as people that makes this a great place to come to work”.</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employ approximately 4,900 employees: approximately 4,400 employees in the United States and approximately 500 employees outside the United States. The U.S. workforce consists of approximately 50% part-time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32% hourly employees and 18% salaried employees. With the seasonal nature of the fourth quarter holiday shopping season in the retail industry, approximately 1,500 additional, flexible, part-time employees are hired in the U.S. to support our customer service and distribution centers.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Recruitment and Retention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Lands’ End leverages a multifaceted recruitment approach to source and hire top talent aligned with our corporate priorities. We maintain a strong digital presence to represent our brand and proactively target talent, in addition to a meaningful employee referral bonus program. We have annual talent reviews to evaluate and align on high potential talent with development actions that prepare employees for internal promotion and career growth opportunities, including succession planning for management positions.</w:t>
      </w:r>
    </w:p>
    <w:p>
      <w:pPr>
        <w:spacing w:after="0" w:line="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Lands’ End has an open-door philosophy. We regularly seek employee feedback through both formal and informal methods from all employment classifications on a variety of topics, including confidence in company leadership, competitiveness of our compensation and benefits package, career growth opportunities and feedback on how we could improve our efforts to be an even greater place to work. Survey outcomes are utilized to drive meaningful improvements. Our efforts to retain talent and maintain strong employee engagement have been very effective, as evidenced by approximately 37% of our full time U.S. employee base having a tenure of 10 years or more.</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Turnover within our workforce is closely monitored to alert management of potential issues aside from our normal and desired turnover. Our three-year average global salaried turnover rate is approximately 12%, and the turnover rate for our U.S. hourly full-time staff is approximately 11%. We maintain a strong focus on employee retention through regular and consistent communication, periodic pulse surveys and continued emphasis on employee personal health and safety.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we strive to be a great place to work, we continue to focus on key initiatives to educate and support diversity and inclusion in the workplace. We believe our strength in work and life comes from the combination of our unique experiences, backgrounds and talents.</w:t>
      </w:r>
    </w:p>
    <w:p>
      <w:pPr>
        <w:spacing w:after="0" w:line="54"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maintain a Diversity, Equity and Inclusion Council (“DEI Council”) consisting of employees who come from diverse backgrounds, with Lands’ End’s Chief Executive Officer serving as the executive sponsor. The DEI Council oversees programming designed to celebrate diversity and foster awareness of all perspectives. To that end, the DEI Council maintains training modules, which are required of all employees, and hosts relevant speakers throughout the year to further employee education. The DEI Council maintains a prominent online presence within the Company’s intranet through which it communicates with all employees across a wide range of subjects, including the recognition of important days within various cultures and educational materials in support of building greater awareness and appreciation of our individual stories, experiences and lives. Each month, a Diversity Newsletter is sent company wide, which serves to further celebrate differences among us.</w:t>
      </w:r>
    </w:p>
    <w:p>
      <w:pPr>
        <w:spacing w:after="0" w:line="8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 xml:space="preserve">We maintain Business Resource Groups (“BRGs”) to provide support for our employees. The BRGs are employee-led and consist of </w:t>
      </w:r>
      <w:r>
        <w:rPr>
          <w:rFonts w:ascii="Times New Roman" w:cs="Times New Roman" w:eastAsia="Times New Roman" w:hAnsi="Times New Roman"/>
          <w:sz w:val="18"/>
          <w:szCs w:val="18"/>
          <w:color w:val="202124"/>
        </w:rPr>
        <w:t>individuals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with common interests, backgrounds or demographic factors such as gender, sexual orientation, race, ethnicity or life experience. </w:t>
      </w:r>
      <w:r>
        <w:rPr>
          <w:rFonts w:ascii="Times New Roman" w:cs="Times New Roman" w:eastAsia="Times New Roman" w:hAnsi="Times New Roman"/>
          <w:sz w:val="18"/>
          <w:szCs w:val="18"/>
          <w:color w:val="000000"/>
        </w:rPr>
        <w:t>We currently have seven</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groups: Lands’ End PRIDE (LGTBQ+), Lands’ End Working Parents, LEEDA (Lands’ End Employees with Disabilities and Allies), Lands’ End Veterans, Lands’ End Multicultural, Lands’ End UpLift (multi-generation), and the Lands’ End Women Group. The groups are open to all employees, including our international employees and allies who want to be supportive and involved. It is our belief that by encouraging and supporting BRGs, we are reinforcing our message of inclusion and hope to further empower our employees to utilize their voice to make Lands’ End welcoming, understanding and stronger.</w:t>
      </w:r>
    </w:p>
    <w:p>
      <w:pPr>
        <w:spacing w:after="0" w:line="79"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Human Resource team continually benchmarks and evolves our benefit offerings to provide more inclusive options. We extended our paid parental leave in 2022 to be more inclusive and expanded domestic partner benefits.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enhanced our recruitment process to support more diverse and inclusive hiring practices. Our strategies extend our reach by targeting areas of the country and industry groups that have top diverse talent and align with diverse business organizations that are reflective of our overall brand strategy. In addition, we are committed to recruitment that is free from bias and actively educate our interview panels and monitor to identify areas of improvement.</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are committed to fostering an environment where contributions are recognized, valued, and rewarded. Our Total Rewards Philosophy is rooted in the fundamental principle that our employees are the driving force behind our success, and we are committed to offering a competitive rewards program that includes compensation, benefits, and opportunities. We align our total rewards programs, core values, and strategic business objectives to attract, retain, and engage top talent, while fostering a culture of collaboration, growth, and excellence.</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believe in upholding pay equity and fairness and are committed to providing equal pay for equal work, ensuring that compensation decisions are based on objective criteria such as skills, experience, and performance. Our compensation practices are designed to foster an inclusive and diverse workforce, where everyone has equal opportunities to thrive and succeed. When making compensation decisions, Lands’ End considers compensation market data primarily focused on apparel retail companies and other related industries.</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addition to paying competitive salaries and wages, Lands’ End has various compensation awards and programs in place for all employees based on their position, such as annual incentive plans, long-term (cash and/or equity) incentive awards, sales incentive plans, peak incentives, and discretionary bonuses based on company performance.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committed to offering a variety of benefits that support the well-being and diverse needs of our employees and their families.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 the following, among other benefits:</w:t>
      </w:r>
    </w:p>
    <w:p>
      <w:pPr>
        <w:spacing w:after="0" w:line="99" w:lineRule="exact"/>
        <w:rPr>
          <w:sz w:val="20"/>
          <w:szCs w:val="20"/>
          <w:color w:val="auto"/>
        </w:rPr>
      </w:pPr>
    </w:p>
    <w:p>
      <w:pPr>
        <w:ind w:left="1000" w:right="20" w:hanging="49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medical, dental, vision, life and disability, accident, and critical illness insurance coverage that is offered to full-time employees, spouses/domestic partners and dependent children</w:t>
      </w:r>
    </w:p>
    <w:p>
      <w:pPr>
        <w:spacing w:after="0" w:line="53"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parental leaves provide up to 20 paid days to all new parents for birth or adoption</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caregiver leave allowing employees to take up to 20 days off to care for a terminally ill spouse or dependent child</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giving programs allowing employees to give back to nonprofit organizations</w:t>
      </w:r>
    </w:p>
    <w:p>
      <w:pPr>
        <w:spacing w:after="0" w:line="11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wellness programs, onsite/near-site medical clinics, group exercise classes, health coaching, nutritional counseling, massage therapy, and wellness incentive programs</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designed to help employees balance work and life, including an Employee Assistance Plan, legal coverage plan, identity theft protection, mental health coaching/counseling and financial education workshops</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Outside of the U.S., we provide competitive benefits which align with market specific needs and regulations, including comprehensive health, dental and vision coverage, pension plans, employer-provided life insurance and paid time off benefits such as paid leave, vacation, and holidays.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Lands’ End partners with employees to discover and develop their talents and abilities through various programs. Development opportunities are available throughout the employee lifecycle, including internships, on-boarding, Early in Career networking, mentorship programs, workshops, self-paced learning and leader coaching. Programs cover a variety of relevant topics, including diversity and inclusion, cybersecurity, harassment free workplace, product updates, deployment of new technology, interpersonal skills, and leadership development. Senior management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regularly reviews organizational talent to identify employees who possess the potential for advancement and to identify, recommend and address developmental needs. We provide development experiences for all levels of the organization and are committed to performance management, offering annual reviews, goal setting, 360 feedback and formal coaching support and mentorship programs for employees.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principal executive offices are located at 1 Lands’ End Lane, Dodgeville, Wisconsin 53595. Our telephone number is (608) 935-9341.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Internet Address and Internet Access to Current and Periodic Reports and Other Information</w:t>
      </w:r>
    </w:p>
    <w:p>
      <w:pPr>
        <w:spacing w:after="0" w:line="11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xml:space="preserve">. References to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xml:space="preserve"> do not constitute incorporation by reference of the information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and such information is not part of this Annual Report on Form 10-K or any other filings with the SEC, unless otherwise explicitly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We file our Annual Report on Form 10-K, Quarterly Reports on Form 10-Q and Current Reports on Form 8-K, and all amendments to those reports, as well as proxy and information statements, electronically with the SEC, and they are available on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which contains reports, proxy and information statements, and other information regarding issuers that file electronically with the SEC. We also make our Annual Reports on Form 10-K, Quarterly Reports on Form 10-Q, current reports on Form 8-K and amendments to those reports available through the Investor Relations section of our website, free of charge, as soon as reasonably practicable after we file such material with, or furnish it to, the SEC.</w:t>
      </w:r>
    </w:p>
    <w:p>
      <w:pPr>
        <w:spacing w:after="0" w:line="7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the charters of the Audit Committee, the Compensation Committee and the Nominating and Corporate Governance Committee of the Board of Directors, our Related Party Transactions Policy, our Director Compensation Policy, our Code of Conduct, and our Board of Directors Code of Conduct are available at the “Corporate Governance” page in the “Investor Relations” section of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including their positions.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1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6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64"/>
        </w:trPr>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Andrew J. McLean</w:t>
            </w:r>
          </w:p>
        </w:tc>
        <w:tc>
          <w:tcPr>
            <w:tcW w:w="220" w:type="dxa"/>
            <w:vAlign w:val="bottom"/>
          </w:tcPr>
          <w:p>
            <w:pPr>
              <w:spacing w:after="0"/>
              <w:rPr>
                <w:sz w:val="22"/>
                <w:szCs w:val="22"/>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55</w:t>
            </w:r>
          </w:p>
        </w:tc>
      </w:tr>
      <w:tr>
        <w:trPr>
          <w:trHeight w:val="283"/>
        </w:trPr>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Bernard McCracken</w:t>
            </w:r>
          </w:p>
        </w:tc>
        <w:tc>
          <w:tcPr>
            <w:tcW w:w="2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62</w:t>
            </w:r>
          </w:p>
        </w:tc>
      </w:tr>
      <w:tr>
        <w:trPr>
          <w:trHeight w:val="265"/>
        </w:trPr>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L. Gray</w:t>
            </w:r>
          </w:p>
        </w:tc>
        <w:tc>
          <w:tcPr>
            <w:tcW w:w="2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Commercial Officer, Chief Administrative Officer and General</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r>
      <w:tr>
        <w:trPr>
          <w:trHeight w:val="234"/>
        </w:trPr>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Counsel</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Angela Rieger</w:t>
            </w:r>
          </w:p>
        </w:tc>
        <w:tc>
          <w:tcPr>
            <w:tcW w:w="2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Transformation Officer</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r>
    </w:tbl>
    <w:p>
      <w:pPr>
        <w:spacing w:after="0" w:line="277"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Andrew J. McLean </w:t>
      </w:r>
      <w:r>
        <w:rPr>
          <w:rFonts w:ascii="Times New Roman" w:cs="Times New Roman" w:eastAsia="Times New Roman" w:hAnsi="Times New Roman"/>
          <w:sz w:val="18"/>
          <w:szCs w:val="18"/>
          <w:color w:val="auto"/>
        </w:rPr>
        <w:t>has served as the Chief Executive Officer since January 28, 2023. He joined Lands’ End as Chief Executive Officer-Designate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member of the Board of Directors in November 2022. Prior to joining the Company, he served at American Eagle Outfitters, Inc., the parent of the American Eagle and Aerie brands, from October 2016 to September 2022, in the roles of President, International from August 2022 to September 2022, Executive Vice President, Chief Commercial Officer from April 2017 to August 2022, and Executive Vice President, International from October 2016 to April 2017. Mr. McLean served Urban Outfitters, Inc. as Chief Operating Officer and Head of International from 2014 to October 2016, and as Chief Operating Officer from 2008 to 2014. Mr. McLean held various positions at Liz Claiborne, Inc., including President, Outlet Division, from 2003 to 2008, as well as, various positions at Gap, Inc. from 2000 to 2003. Mr. McLean began his career as a strategy consultant with AT Kearney. Outside of his professional commitments, Mr. McLean has been an active supporter of the New York Fashion Tech Lab, an organization committed to supporting retail innovation among female entrepreneurs. Mr.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McLean received his Bachelor’s degree in Engineering from the University of Manchester, a Master’s degree in Engineering Management from the University of Cambridge and an MBA from Harvard Business School. Mr. McLean brings extensive operational and strategic expertise and over 20 years of retail experience leading organizational growth for several Fortune 500 and start-up companies. Mr. McLean has a proven track record in the areas of global brand delivery and international strategy, marketing and customer experience.</w:t>
      </w:r>
    </w:p>
    <w:p>
      <w:pPr>
        <w:spacing w:after="0" w:line="70"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Bernard McCracken </w:t>
      </w:r>
      <w:r>
        <w:rPr>
          <w:rFonts w:ascii="Times New Roman" w:cs="Times New Roman" w:eastAsia="Times New Roman" w:hAnsi="Times New Roman"/>
          <w:sz w:val="18"/>
          <w:szCs w:val="18"/>
          <w:color w:val="auto"/>
        </w:rPr>
        <w:t>was appointed Chief Financial Officer in September 2023 after serving as Interim Chief Financial Officer since January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McCracken served as the Vice President, Controller and Chief Accounting Officer of Lands’ End from April 2014 until his appointment as Chief Financial Officer. Mr. McCracken previously served as Vice President Corporate Controller/Business Transformation Office, Senior Director of Special Projects and Senior Director of Accounting at The Children’s Place, Inc. Mr. McCracken also served in the roles of Vice President of Finance (divisional CFO), Meldisco Division, and Assistant Controller at Footstar, Inc. from 1998 to 2003. Mr. McCracken also served as a Consultant/Manager, Enterprise Risk Services-Retail Internal Audit Group at Deloitte &amp; Touche LLP from 1997 to 1998, served as Divisional Controller at The Leslie Fay Companies, Inc. from 1994 to 1997, and Assistant Controller at Loehmann’s Inc. from 1987 to 1994.</w:t>
      </w:r>
    </w:p>
    <w:p>
      <w:pPr>
        <w:spacing w:after="0" w:line="75"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Peter L. Gray </w:t>
      </w:r>
      <w:r>
        <w:rPr>
          <w:rFonts w:ascii="Times New Roman" w:cs="Times New Roman" w:eastAsia="Times New Roman" w:hAnsi="Times New Roman"/>
          <w:sz w:val="18"/>
          <w:szCs w:val="18"/>
          <w:color w:val="auto"/>
        </w:rPr>
        <w:t>has served as Chief Commercial Officer of Lands’ End since January 2023. He joined Lands’ End as Executive Vice President,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Officer and General Counsel in May 2017. Mr. Gray served as Executive Vice President, General Counsel and Secretary of Tumi Holdings, Inc., a manufacturer and retailer of consumer goods including business bags, luggage, apparel and other travel-related goods, from December 2013 until November 2016. He was employed by ModusLink Global Solutions, Inc. (formerly CMGI, Inc.), a supply chain business process management company, from June 1999 to October 2013, most recently as Executive Vice President, Chief Administrative Officer and General Counsel. Earlier in his career, he was a junior partner at Hale and Dorr LLP. He also serves as Chairman of the Board of Directors of the Tufts University Hillel Foundation.</w:t>
      </w:r>
    </w:p>
    <w:p>
      <w:pPr>
        <w:spacing w:after="0" w:line="74"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Angela Rieger </w:t>
      </w:r>
      <w:r>
        <w:rPr>
          <w:rFonts w:ascii="Times New Roman" w:cs="Times New Roman" w:eastAsia="Times New Roman" w:hAnsi="Times New Roman"/>
          <w:sz w:val="18"/>
          <w:szCs w:val="18"/>
          <w:color w:val="auto"/>
        </w:rPr>
        <w:t>has served as Executive Vice President, Chief Transformation Officer since January 2023. She served in several roles of increasing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at Lands’ End, including Divisional President, Lands’ End Outfitters from August 2022 to January 2023, Senior Vice President, Wholesale and Head of Sourcing from July 2022 to August 2022, Senior Vice President, International and Wholesale from January 2020 to July 2022, Senior Vice President, International from July 2019 to January 2020, Senior Vice President, Planning and Head of International from March 2019 to July 2019, Senior Vice President, Planning and US Direct from June 2016 to March 2019, Senior Vice President, Inventory Planning from January 2013 to March 2019, Vice President, Planning and Inventory from October 2011 to January 2013 and Sr. Director, U.S. Planning and Inventory from May 2010 to October 2011. She served as Merchandising Manager of Douglas Stuart Company from May 2007 to April 2010. She was also previously employed by Lands’ End from July 1991 to May 2007. She has served as a member of the Board of Directors of Thrivent Financial since February 2020, as well as MGE Energy, Inc. (MGE Energy) and Madison Gas and Electric Company (MGE) since March 2024, and serves on the Board of Directors of American Family Children’s Hospital Development Advisory Board, Clean Lakes Alliance, and Women in Retail Leadership Circle.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Annual Report on Form 10-K in evaluating our company and our common stock. Any of the following risks could materially and adversely affect our business, results of operations or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economic conditions on consumer discretionary spending and customers has in the past and could, in the future, adversely affect our financial performance.</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Apparel purchases are discretionary expenditures that historically have been influenced by domestic and global economic conditions. Higher prices for consumer goods may result in less discretionary spending for consumers. Changes in consumer spending have resulted and may continue to result in reduced demand for our products, increased inventories, lower revenues, higher discounts, pricing pressures and lower gross margins.</w:t>
      </w:r>
    </w:p>
    <w:p>
      <w:pPr>
        <w:spacing w:after="0" w:line="6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Global and domestic conditions that have an effect on consumer discretionary spending include but may not be limited to: unemployment, general and industry-specific inflation, consumer confidence, consumer purchasing and saving habits, credit conditions, stock market performance, home values, population growth, household incomes and tax policies. Material changes to governmental policies related to domestic and international fiscal concerns, and/or changes in central bank policies with respect to monetary policy also could affect consumer discretionary spending. Any of these additional factors affecting consumer discretionary spending may further influence our customers’ purchasing preferences, potentially having a further material impact on our financial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have had and could, in the future, adversely affect our business, operating results and financial condition.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Global economic conditions have impacted, and will likely continue to impact, businesses around the world. Macroeconomic pressures in the U.S. and the global economy such as rising interest rates, raw material costs and energy prices have created and may continue to create a challenging economic environment. The following factors attributable to uncertain economic and financial market conditions could have a material adverse effect on our business, operating results and financial condition:</w:t>
      </w:r>
    </w:p>
    <w:p>
      <w:pPr>
        <w:spacing w:after="0" w:line="72"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may continue to cause increases in costs of core consumer products, such as gasoline, food and energy, which in turn are likely to reduce household spending on the consumer discretionary products we offer;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availability and prices for commodities and raw materials that we use in our products and in our supply chain (such as cotton);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expense could increase if prevailing interest rates increase, because our debt bears interest at variable rates;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distribution channel conducts business in various currencies, which creates exposure to fluctuations in foreign currency rates relative to the U.S. Dollar.</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In the current uncertain economic environment, we cannot predict whether or when such circumstances may improve or worsen, or what impact, if any, such circumstances could have on our business, results of operations, cash flows and financial position.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information technology systems could be negatively impacted by natural disasters, extreme weather conditions, public health emergencies, including pandemics, or political crises or other catastrophic events.</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vendors and operations are located throughout the world including locations subject to natural disasters or extreme weather conditions, public health emergencies, including pandemics, or terrorist attacks, political or military conflicts as well as other potential catastrophic events. The occurrence of any of these events could disrupt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and/or technology and therefore negatively impact sales of our products and may also heighten other risks described in this section, including but not limited to those related to consumer behavior and expectations, competition, brand reputation, implementation of strategic initiatives, cybersecurity threats, payment-related risks, technology systems disruption, global supply chain disruptions, labor availability and cost, litigation, operational risk as a result of remote work arrangements and regulatory requirements.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unseasonal or severe weather conditions or significant weather events caused by climate change may adversely affect our merchandise sales.</w:t>
      </w:r>
    </w:p>
    <w:p>
      <w:pPr>
        <w:spacing w:after="0" w:line="5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business is adversely affected by unseasonal weather conditions and may be affected by significant weather events due to climate change. Sales of our spring and summer products, which traditionally consist of lighter clothing and swimwear, are adversely affected by cool or wet weather. Similarly, sales of our fall and winter products, which are traditionally weighted toward outerwear, are adversely affected by mild, dry or warm weather. In addition, severe weather events typically result in reduced traffic at Company Operated store locations which could lead to reduced sales of our merchandise. Severe weather events may impact our ability to deliver orders to customers in a timely manner, supply our Company Operated stores and adequately staff our distribution centers and Company Operated stores, which could have an adverse effect on our business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MICROECONOMIC CONDITIONS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in nature and any decrease in our sales or margins, especially during the fourth quarter of our fiscal year, could have an adverse effect on our business and results of operations.</w:t>
      </w:r>
    </w:p>
    <w:p>
      <w:pPr>
        <w:spacing w:after="0" w:line="5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Our business is seasonal, with the highest levels of sales typically occurring during the fourth quarter of our fiscal year. Our fourth quarter results in the future may fluctuate based upon factors such as the timing of holiday season dates, inventory positions, global supply chain challenges, promotions, level of markdowns, competitive factors, weather and general economic conditions. Any decrease in sales or margins, for example, as a result of increased promotional activity, increased costs, economic conditions, poor weather or other factors, could have an adverse effect on our business and results of operations. In addition, seasonal fluctuations also affect our inventory levels since we usually order merchandise in advance of peak selling periods. To manage customer demand, we need to maintain an appropriate, but large amount of inventory, especially increasing it before the fourth quarter peak selling periods. If we are not successful in selling inventory during these periods, we may have to sell the inventory after the peak selling period at significantly reduced prices, which could adversely affect our business and results of operations. Furthermore, with the seasonal nature of our business, over 1,500 flexible part-time employees join us each year to support our fourth quarter holiday shopping season. An inability to attract qualified flexible part-time personnel could interrupt our sales during such peak seasons.</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and anticipated increases in the cost and availability of catalog paper, printing services, distribution, and postage have had and could continue to have an adverse effect on our business and results of operations.</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Catalog mailings are an important aspect of our marketing efforts. Increases in costs relating to postage, paper, and printing have increased and may continue to increase the cost of our catalog mailings and could reduce our profitability to the extent that we are unable to offset such increases by raising retail prices, or by implementing more efficient printing, mailing, delivery, and order fulfillment systems, or by using alternative direct-mail formats.</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Paper for catalogs and promotional mailings is an essential resource in the success of our business. The continuous changes to the global paper market have resulted in plant closures and equipment conversion and lower available volume of specialty paper grades. The market price for paper has fluctuated significantly and may continue to fluctuate in the future. In addition, future pricing and supply availability of catalog paper may be impacted in the United States and Europe. The multi-year price of paper may be subject to fluctuation under our contracts for the supply of paper and we are not guaranteed access to, or reasonable prices for, the amounts required for the operation of our business over the long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also depend upon external vendors to print and mail our catalogs. Partially due to the consolidation of printing companies, there are a limited number of printers that can handle such needs which subjects us to risks if any printer fails to perform as required. The cost to print catalogs may also fluctuate based on several factors beyond our control, including commodity prices for ink and solvents, changes in supply and demand, labor costs, and energy. Also, during Fiscal 2023, there was continued capacity reduction in the market which will continue to pressure pricing as contracts expire.</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currently use national mail carriers for distribution of substantially all our catalogs and a fluctuating quantity of our outbound customer deliveries. Therefore, we are vulnerable to postal rate increases, changes in discounts for bulk mailings and sorting by zip code and carrier routes which we currently leverage for cost savings.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merchandise promotions and markdowns to encourage consumer purchases could adversely affect our gross margins and results of operations.</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apparel industry is dominated by large brands and national/mass retailers, where price competition, promotion, and branded product assortment drive differentiation between competitors. In order to be competitive, we must offer customers compelling products at attractive prices. In recent periods, the use of promotions and markdowns, as appropriate, is a strategy we have employed to offer attractive prices. Heavy reliance on promotions and markdowns to encourage customers to purchase our merchandise could have a negative impact on our gross margins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in the future for our general corporate purposes or growth strategies and such financing may not be available on favorable terms, or at all, and may be dilutive to existing stockholders.</w:t>
      </w:r>
    </w:p>
    <w:p>
      <w:pPr>
        <w:spacing w:after="0" w:line="5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We may need to seek additional financing for our general corporate purposes or growth strategies. We may be unable to obtain any desired additional financing on terms favorable to us, or at all, depending on macroeconomic or other market conditions which are outside of our control. The ability to raise additional financing depends on numerous factors, including general economic and market conditions, the health of financial institutions, our credit ratings and lenders’ assessments of our prospects and the prospects of the retail industry in general, which are impacted by current macroeconomic conditions. The lenders, under our existing or any future credit facilities, may not be able to meet their commitments if they experience shortages of capital and liquidity. With negative changes in market conditions, we may be subject to limitations on our operations due to restrictive covenants in current Debt Facilities. If adequate funds required through debt issuance are not available on acceptable terms, we may be unable to fund our capital needs required to successfully develop or enhance our products, or respond to competitive pressures, any of which could negatively affect our business. If we are not able to fulfill our liquidity needs through operating cash flows and/or borrowings under credit facilities or otherwise in the capital markets, our business and financial condition would be adversely affected.</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total debt and the underlying debt agreements, which contain terms and conditions which impose restrictions on us, may affect our ability to operate our business, placing us at a competitive disadvantage in our industry.</w:t>
      </w:r>
    </w:p>
    <w:p>
      <w:pPr>
        <w:spacing w:after="0" w:line="5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debt and debt service requirements could adversely affect our ability to operate our business and may limit our ability to take advantage of potential business opportunities. Our level of debt presents the following risks, among others:</w:t>
      </w:r>
    </w:p>
    <w:p>
      <w:pPr>
        <w:spacing w:after="0" w:line="54" w:lineRule="exact"/>
        <w:rPr>
          <w:sz w:val="20"/>
          <w:szCs w:val="20"/>
          <w:color w:val="auto"/>
        </w:rPr>
      </w:pPr>
    </w:p>
    <w:p>
      <w:pPr>
        <w:jc w:val="both"/>
        <w:ind w:left="1020" w:right="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use a substantial portion of our cash flow from operations to pay principal (including amortization) and interest on our debt, thereby reducing the availability of our cash flow to fund working capital, capital expenditures, strategic acquisitions and other general corporate requirements;</w:t>
      </w:r>
    </w:p>
    <w:p>
      <w:pPr>
        <w:spacing w:after="0" w:line="67" w:lineRule="exact"/>
        <w:rPr>
          <w:rFonts w:ascii="Times New Roman" w:cs="Times New Roman" w:eastAsia="Times New Roman" w:hAnsi="Times New Roman"/>
          <w:sz w:val="18"/>
          <w:szCs w:val="18"/>
          <w:color w:val="auto"/>
        </w:rPr>
      </w:pPr>
    </w:p>
    <w:p>
      <w:pPr>
        <w:jc w:val="both"/>
        <w:ind w:left="1000" w:right="20" w:hanging="493"/>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debt leverage ratio could limit our ability to raise additional financing on satisfactory terms, which increases our vulnerability to an economic downturn or a change in market conditions, limits our flexibility in planning for, or reacting to changes in our business or industry, and decreases our ability to fund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00"/>
        <w:spacing w:after="0" w:line="282" w:lineRule="auto"/>
        <w:rPr>
          <w:sz w:val="20"/>
          <w:szCs w:val="20"/>
          <w:color w:val="auto"/>
        </w:rPr>
      </w:pPr>
      <w:r>
        <w:rPr>
          <w:rFonts w:ascii="Times New Roman" w:cs="Times New Roman" w:eastAsia="Times New Roman" w:hAnsi="Times New Roman"/>
          <w:sz w:val="18"/>
          <w:szCs w:val="18"/>
          <w:color w:val="auto"/>
        </w:rPr>
        <w:t>working capital, capital expenditures, strategic acquisitions and other general corporate requirements; placing us at a competitive disadvantage compared to our competitors that are less leveraged;</w:t>
      </w:r>
    </w:p>
    <w:p>
      <w:pPr>
        <w:spacing w:after="0" w:line="54" w:lineRule="exact"/>
        <w:rPr>
          <w:sz w:val="20"/>
          <w:szCs w:val="20"/>
          <w:color w:val="auto"/>
        </w:rPr>
      </w:pPr>
    </w:p>
    <w:p>
      <w:pPr>
        <w:jc w:val="both"/>
        <w:ind w:left="1000" w:hanging="493"/>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certain financial covenants, including a quarterly maximum total leverage ratio test, and a monthly minimum liquidity test (the “financial covenants”); and other covenants which limit our ability to pay dividends or make other restricted payments and investments; and</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5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the operating and financial covenants could result in an event of default which, if not cured or waived, could result in the acceleration of the applicable debt or may result in the acceleration of any other debt to which a cross-acceleration or cross-default provision applies, and in the event our creditors accelerate the repayment of our borrowings, we and our subsidiaries may not have sufficient assets to repay that debt and the lenders could proceed against the collateral granted to them to secure such indebtedness. Our ability to meet these covenants can be affected by events beyond our control, and we cannot assure that we will meet them.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could continue to incur non-cash charges due to impairment of intangible assets and long-lived assets.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As of February 2, 2024, our intangible asset consists of our trade name totaling $257.0 million, which is subject to testing for impairment annually or more frequently if events or changes in circumstances indicate that the asset might be impaired. Any event that impacts our reputation could result in impairment charges for our trade name. Long-lived assets, primarily property and equipment, are also subject to testing for impairment if events or changes in circumstances indicate that the asset might be impaired. A significant amount of judgment is involved in our impairment assessment. If actual results fall short of our estimates and assumptions used in estimating revenue growth, future cash flows and asset fair values, we could incur further impairment charges for intangible assets or long-lived assets, which could have an adverse effect on our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BRAND AND BRAND EXECUTION</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customer preference for our branded merchandise and services change or we cannot compete effectively in the apparel industry, our business and results of operations may be adversely affected.</w:t>
      </w:r>
    </w:p>
    <w:p>
      <w:pPr>
        <w:spacing w:after="0" w:line="5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Our products and services must satisfy the desires of customers, whose preferences change over time. Sales of branded merchandise account for substantially all our total revenues and the Lands’ End brand is a critical differentiating factor for our business. Our inability to develop products that resonate with our existing customers and attract new customers, our inability to maintain our strict quality standards or to develop, produce and deliver innovative products in a timely manner, or any unfavorable publicity with respect to the foregoing or otherwise could negatively impact the image of our brand with our customers and could result in diminished appeal of our brand. As customer preferences change, our failure to anticipate, identify and react in a timely manner to emerging trends and appropriately provide attractive high-quality products that maintain or enhance the appeal of our brand through our websites, catalogs and Company Operated stores could have an adverse effect on our sales, operating margins and results of operations.</w:t>
      </w:r>
    </w:p>
    <w:p>
      <w:pPr>
        <w:spacing w:after="0" w:line="8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apparel industry is highly competitive. We compete with a diverse group of direct-to-consumer companies and retailers, including national department store chains, women’s and men’s specialty apparel chains, apparel catalog businesses, sportswear marketers and online apparel businesses that sell similar lines of merchandise. Brand image, marketing, design, price, service, quality, image presentation, fulfillment and customer service are all competitive factors. Our competitors may be able to adopt more aggressive pricing policies, adapt to changes in customer preferences or requirements more quickly, devote greater resources to the design, sourcing, distribution, marketing and sale of their products, or generate greater national brand recognition than we can. An inability to overcome these potential competitive disadvantages or effectively market our products relative to our competitors could have an adverse effect on our business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overall marketing strategies for digital marketing and direct mail catalogs and customers’ use of our digital platform, including our eCommerce websites.</w:t>
      </w:r>
    </w:p>
    <w:p>
      <w:pPr>
        <w:spacing w:after="0" w:line="5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customers’ use of our eCommerce websites and their response to our digital marketing and direct mail catalogs. The level of customer traffic and volume of customer purchases on our eCommerce website is substantially dependent on the ability to provide attractive and accessible websites, maintain a robust customer list, provide a high-quality customer experience and reliable delivery of our merchandise. If we are unable to maintain and increase customer traffic to our eCommerce website and the volume of goods they purchase, including, as a result of changes to the level and types of marketing or amount of spend allocated to each type of marketing, or through the failure to otherwise successfully promote and maintain websites and their associated services, our revenue and results of operations could be adversely affected. In addition, any future privacy rules or other regulations could adversely impact our business to the extent we need to limit or change our digital marketing efforts.</w:t>
      </w:r>
    </w:p>
    <w:p>
      <w:pPr>
        <w:spacing w:after="0" w:line="8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have been increasing our investment in digital marketing, social media and optimizing our catalog productivity. Digital marketing costs now exceed direct mail catalog costs and this shift in marketing strategy could have a negative impact if customers that previously relied on the direct mail catalog do not respond as favorably through the digital marketing channel.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or preserve the image of our brands, our reputation and our intellectual property rights, our business may be adversely affected.</w:t>
      </w:r>
    </w:p>
    <w:p>
      <w:pPr>
        <w:spacing w:after="0" w:line="5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regard our copyrights, service marks, trademarks, trade dress, trade secrets and similar intellectual property as critical to our success. As such, we rely on trademark and copyright law, trade secret protection and confidentiality agreements with our associates, consultants, vendors and others to protect our proprietary rights. Nevertheless, the steps we take to protect our proprietary rights may be inadequate and we may have trouble in effectively limiting unauthorized use of our trademarks and other intellectual property worldwide. Unauthorized use of our trademarks, copyrights, trade secrets or other proprietary rights may cause significant damage to our brands and our ability to effectively represent ourselves to agents, suppliers, vendors, licensees and/or customers.</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Additionally, our efforts to pursue licensing and wholesaling relationships with third parties increases risk of brand damage. If third parties do not adhere to our standards or if we fail to maintain the image of our brands due to merchandise and service quality issues, adverse publicity, governmental investigations or litigation, or other reasons, our brands and reputation could be damaged, and our business may be adversely affected.</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Third parties may sue us for alleged infringement of their proprietary rights.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pay significant damages, or enter into expensive royalty or licensing arrangements with the prevailing party, assuming these royalty or licensing arrangements are economically feasible, which they may not be.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vendors to provide us with services in connection with certain aspects of our business, and any failure by these vendors to perform their obligations could have an adverse effect on our business and results of operations.</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vendors for logistics services, information technology systems (including website hosting), credit card processing, onshore and offshore software development and support, catalog production, distribution and packaging and employee benefits. Services provided by any of our vendors could be interrupted as a result of many factors, such as acts of nature or contract disputes. Any failure by a vendor to provide us with contracted-for services on a timely basis or within service level expectations and performance standards could result in a disruption of our business and have an adverse effect on our business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Operated stores may not be successful, and as a result our business and results of operations could be adversely affected.</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Company Operated stores are dependent on our ability to operate all locations effectively and attract customers with a compelling assortment. Our Company Operated store operations include managing the store and recruiting and hiring store management and associates. In addition, we are required to implement retail-specific marketing plans, and enhance inventory management skills specific to retail, such as those related to allocation and replenishment of product. If customers are not receptive of our store locations and concept, customer traffic, projected store sales and profitability may suffer.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CHAIN AND GLOBAL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timely and effectively obtain shipments of products from our vendors and deliver merchandise to our customers, our business and operating results could be adversely affected.</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do not own or operate any manufacturing facilities and therefore depend upon independent merchandise suppliers and vendors for the manufacture of our merchandise. We cannot control all of the various factors that might affect timely and effective procurement of supplies of product from our vendors, including labor issues and other disruptions. From time to time, some of our factories that produce our product have experienced temporary suspension of operations due to labor issues and other disruptions.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products that we purchase are shipped to our distribution centers in Wisconsin and the United Kingdom. Our reliance on a limited number of distribution centers makes us more vulnerable to unforeseen events that could delay or impair our ability to fulfill customer orders and/or ship merchandise to our Company Operated stores. Our ability to mitigate the adverse impacts of these events depends in part upon the effectiveness of our disaster preparedness and response planning, as well as business continuity planning which may not be adequate or perform as intended.</w:t>
      </w:r>
    </w:p>
    <w:p>
      <w:pPr>
        <w:spacing w:after="0" w:line="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utilization of imports also makes us vulnerable to risks associated with products manufactured abroad, including, among other things, transportation and other delays in ocean shipments, including delays experienced with the Red Sea crisis, unexpected or significant port congestion, lack of freight availability, increased cost to secure freight availability, freight cost increases, risks of damage, destruction or confiscation of products while in transit to a distribution center, organized labor strikes and work stoppages, heightened security screening and inspection processes or other port-of-entry limitations or restrictions in the United States and the United Kingdom.</w:t>
      </w:r>
    </w:p>
    <w:p>
      <w:pPr>
        <w:spacing w:after="0" w:line="75"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rely upon third-party land-based and air freight carriers for merchandise shipments from our distribution centers to customers. Accordingly, we are subject to the risks, including labor disputes, union organizing activity, trucking shortages, inclement weather and increased logistics costs, associated with such carriers’ ability to provide delivery services to meet outbound shipping needs. The changing mix of our outbound freight carriers may result in higher costs and customer delays. In addition, if the cost of fuel rises or surcharges increase, the cost to deliver merchandise from distribution centers to customers may rise, and, although some of these costs are paid by our customers, such costs could have an adverse impact on our profitability. Any increase in shipping costs and surcharges may have an adverse effect on our profitability and future financial performance.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and increases in the cost, availability, and quality of raw materials as well as fluctuations in other production and distribution related costs could adversely affect our business and results of operations.</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products are manufactured using several key raw materials, including wool, cotton and down, which are subject to fluctuations in price and availability and many of which are produced in emerging markets in Asia and South America. The prices of these raw materials may also fluctuate based on a number of other factors beyond our control, including commodity prices such as prices for oil, changes in supply and demand, labor costs, competition, import duties, tariffs, anti-dumping duties, currency exchange rates and government regulation. Recent inflationary pressures have increased the cost of oil and raw materials. These fluctuations in cost, availability and quality of raw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materials used to manufacture our merchandise may result in an increase in our costs to purchase products from our vendors and could have an adverse effect on our cost of goods. Increases in raw material cost may cause us to increase our prices, which may not be acceptable to our customers.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forecast our inventory needs, efficiently manage inventory levels and have proper controls to protect our inventory, our results of operations could be adversely affected.</w:t>
      </w:r>
    </w:p>
    <w:p>
      <w:pPr>
        <w:spacing w:after="0" w:line="5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We must maintain sufficient inventory levels to operate our business successfully. Sufficient inventory levels are maintained by our ability to accurately forecast the product needs for each distribution channel, our ability to accurately report our inventory levels and our ability to protect those assets.</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If we do not accurately anticipate the future customer demand for a particular product, report the current inventory level for a particular product, protect the physical inventory or project the time it will take to obtain new inventory, inventory levels will not be appropriate, and our results of operations could be adversely affected. We must also avoid accumulating excess inventory, which increases working capital needs, increases carrying costs of the inventory, including an increase in interest expense on variable rate debt, and could lower gross margins. On the other hand, if we underestimate demand for a particular product, we may experience inventory shortages resulting in lost revenues.</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obtain substantially all our inventory from vendors located outside the United States. Some of these vendors require lengthy advance notice of order requirements in order to be able to supply products in the quantities requested. This usually requires us to order merchandise and enter into commitments for the purchase of such merchandise well in advance of the time these products will be offered for sale, which makes responding to changing markets challenging.</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own websites, third-party suppliers and third-party marketplaces rely on our ability to report and exchange accurate inventories by style, color and size to support customer orders. If we are not able to accurately report inventory information our results of operations could be negatively impacted.</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store high volumes of inventory and are subject to the attendant risks of inventory loss, spoilage, shrink, scrap and theft (which we collectively refer to as “shrinkage”). Although some level of inventory shrinkage is unavoidable, if we were to experience higher than expected rates of inventory shrinkage, be unable to accurately record inventory transactions or incur increased security costs to combat inventory theft, it could have a material adverse effect on our business.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Deterioration of relationships with our vendors and/or the failure of our new merchandise sourcing initiatives could have an adverse effect on our competitive position and operational results.</w:t>
      </w:r>
    </w:p>
    <w:p>
      <w:pPr>
        <w:spacing w:after="0" w:line="5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have long standing relationships with the vendors that supply a significant portion of our merchandise but do not operate under long-term agreements. Therefore, our success relies on maintaining good relations with these vendors. Our growth strategy depends to a significant extent on the willingness and ability of our vendors to efficiently supply merchandise that is consistent with our standards for quality and value. In the event we engage new vendors, it may cause us to encounter delays in production and added costs as a result of the time it takes to guide and educate our vendors in producing our products and adhering to our standards. If we cannot obtain a sufficient amount and variety of quality product at acceptable prices, it could have a negative impact on our competitive position. This could result in lower revenues and decreased customer interest in our product offerings, which, in turn, could adversely affect our business and results of operations.</w:t>
      </w:r>
    </w:p>
    <w:p>
      <w:pPr>
        <w:spacing w:after="0" w:line="8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arrangements with our vendors are generally not exclusive. As a result, our vendors might be able to sell similar products to our competitors, some of which purchase products in significantly greater volume. Our competitors may enter into arrangements with suppliers that could impair our ability to sell those suppliers’ products, including by requiring suppliers to enter into exclusive arrangements, which could limit our access to such arrangements or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merchandising sourcing strategies are designed to increase the efficiency and responsiveness of our supply chain and include both vendor rationalization, vendor productivity and third-party sourcing assistance. In the event these strategies are unsuccessful, our business could be adversely affected.</w:t>
      </w:r>
    </w:p>
    <w:p>
      <w:pPr>
        <w:spacing w:after="0" w:line="68"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reputation and customers’ willingness to purchase our products depend in part on our independent vendors and licensing partners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and safety standards of materials. While we operate compliance and monitoring programs to promote ethical and lawful business practices and verify compliance with safety standards, we do not exercise ultimate control over our independent vendors and licensing partners or their business practices and cannot guarantee their compliance with ethical and lawful business practices and safety standards. Violation of ethical, labor, safety, or other standards by independent vendors and licensing partners, or the divergence of an independent vendor’s or licensing partner’s labor practices from those generally accepted as ethical in the United States could hurt our reputation or materially impact our ability to import products manufactured by these vendors or from the regions in which they operate, which could have an adverse effect on our business and results of operations.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and rely on sources for merchandise located in foreign markets and our business may therefore be adversely affected by legal, regulatory, economic and political risks associated with international trade in those markets.</w:t>
      </w:r>
    </w:p>
    <w:p>
      <w:pPr>
        <w:spacing w:after="0" w:line="5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majority of our merchandise is manufactured in Asia and South America, depending on the nature of the product mix. These products are either imported directly by us or indirectly by distributors who, in turn, sell products to us. Any increase in the cost of merchandise purchased from these vendors or restrictions on the merchandise made available by these vendors could have an adverse effect on our business and results of operations.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also sell our products globally. Our reliance on vendors in foreign markets and the marketing of products to customers in foreign markets creates risks inherent in doing business in foreign jurisdictions, including:</w:t>
      </w:r>
    </w:p>
    <w:p>
      <w:pPr>
        <w:spacing w:after="0" w:line="54" w:lineRule="exact"/>
        <w:rPr>
          <w:sz w:val="20"/>
          <w:szCs w:val="20"/>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the countries and regions where our customers or vendors are located;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fluctuations in currency exchange rates;</w:t>
      </w:r>
    </w:p>
    <w:p>
      <w:pPr>
        <w:spacing w:after="0" w:line="11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and other country laws relating to foreign operations, including the Foreign Corrupt Practices Act, the U.K. Modern Slavery Act, the U.K. Bribery Act, the European Union General Data Protection Regulation (the GDPR), the U.K. Data Protection Act 2018, and a growing number of customer privacy initiatives throughout the world;</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and non-United States laws affecting the importation and taxation of goods, including duties, tariffs and quotas, enhanced security measures at United States ports, or imposition of new legislation relating to import quotas;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shipping, labor, fuel, travel and other logistics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anti-dumping or countervailing duty proceedings resulting in the potential assessment of special anti-dumping or countervailing duties;</w:t>
      </w:r>
    </w:p>
    <w:p>
      <w:pPr>
        <w:spacing w:after="0" w:line="53"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including the Red Sea crisis, and interruptions and including those due to the failure of vendors or distributors to comply with import regulations;</w:t>
      </w:r>
    </w:p>
    <w:p>
      <w:pPr>
        <w:spacing w:after="0" w:line="53"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 such as the current conflict between Russia and Ukraine, hostilities in the Middle East, increasing tension in Southeast Asia, and acts of terrorism;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in the United States that may have an impact on the trading status of certain countries and may include retaliatory duties or other trade sanctions.</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Any inability on our part to successfully operate in foreign jurisdictions and rely on our foreign sources of production, due to any of the factors listed above, could have an adverse effect on our business,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expand our distribution channels and geographic reach may not be successful.</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strategy includes initiatives to further our reach in the United States and in several countries throughout the world through various distribution channels and brands, including through relationships with third-party eCommerce marketplaces. We have limited experience operating in many of these locations and with third parties and face major, established competitors. We may also experience barriers to entry. We may seek additional business partners or licensees to assist us in these efforts, however we may not be successful in establishing such relationships. Moreover, consumer tastes and trends may differ in many of these locations from those in our existing locations, and as a result, the sales of our products may not be successful or profitable. If our expansion efforts are not successful or do not deliver an appropriate return on our investments, our business could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CYBERSECURITY AND DATA PRIVACY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new information technology systems, we could experience significant disruptions to our operations.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employ a variety of third-party and internally-developed systems including web sites, point of sale, telecommunications, email, design and merchandising, production management, inventory management, warehouse management, financial, and human resources systems to maintain our business. Some of these systems are aged and difficult to maintain. All systems are subject to damage or interruption from power outages, computer and telecommunications failures, computer viruses, security breaches, catastrophic events such as fires, tornadoes and hurricanes, and usage errors by our employees or vendors. Such damage or interruption, if pervasive or prolonged, may have a material adverse impact on our business or results of operation.</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support of our business strategies, we implement new solutions and upgrade existing ones to offer, sell and fulfill our products through Lands’ End distribution channels and with wholesale partners, licensees and external marketplaces. As we deploy such changes, we must maintain effective internal controls and operational processes. Any difficulties encountered in completing these activities, as well as problems in technical resources, system performance or system adequacy, including loss or corruption of data, could have an adverse impact on our business.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protect against cyber security threats, maintain customer privacy, or secure employee and company information, we could experience significant business interruption and become subject to litigation.</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information technology systems are potentially vulnerable to malicious intrusion and targeted or random cyber-attacks. Although we have invested in the protection and monitoring of our information technology network, proprietary and customer data and systems, there can be no assurance that these efforts will prevent breaches in our information technology systems that could adversely affect our business.</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regulatory environment related to information security and privacy is increasingly rigorous with new and rapidly changing requirements applicable to our business. Compliance with the European Union General Data Protection Regulation (GDPR), the California Consumer Privacy Act (CCPA), the California Privacy Rights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(CPRA) and other privacy laws requires and will continue to require significant management and financial resources. We could be held liable to government agencies, our customers or other parties or be subject to significant fines, regulatory or other actions for breaching privacy and information security laws and regulations, and our business and reputation could be adversely affected by any resulting loss of customer confidence, litigation, civil or criminal penalties or adverse publicity.</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Any significant compromise or breach of customer, employee or company data security, could significantly damage our reputation and result in additional costs, lost sales, fines and lawsuits. There can be no assurance that the procedures that we or our third-party providers have implemented to protect against unauthorized access to secured data are adequate to safeguard against all data security breaches.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highly dependent upon our information technology systems and failures or interruptions of service or security breaches in our systems may interrupt our operations and harm our business.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the successful and uninterrupted functioning of our computer and information technology systems. We rely heavily on information technology systems across our operations, including those we use for finance and accounting functions, supply chain management, point-of-sale processing, online and mobile platforms, mobile payment processing, and various other processes and functions. Many of these systems are interdependent on one another for their functionality. Additionally, the success of several of our initiatives to drive growth, including our priority to expand digital engagement with our customers, is highly dependent on the reliability, availability, integrity, scalability and capacity of our information technology systems. We also rely on third-party providers and platforms for some of these information technology systems and support.</w:t>
      </w:r>
    </w:p>
    <w:p>
      <w:pPr>
        <w:spacing w:after="0" w:line="79"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Our operational safeguards may not be effective in preventing the failure of these systems to operate effectively and be continuously available to run our business. Such failures may be caused by various factors, including fire, natural disaster, power loss, telecommunications failure, problems with transitioning to upgraded or replacement systems, physical break-ins, programming errors, flaws in third-party software or services, disruptions or service failures of technology infrastructure facilities, such as storage servers, provided by third parties, errors or malfeasance by our employees or third-party service providers or breaches in the security of these systems or platforms, including unauthorized entry and computer viruses. We cannot assure you that we will resolve these system failures and restore our systems and operations in an effective and timely manner. Such system failures and any delayed restore process could result in:</w:t>
      </w:r>
    </w:p>
    <w:p>
      <w:pPr>
        <w:spacing w:after="0" w:line="8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and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theft of customer, employee or other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business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claims, government investigations and enforcement actions, fraud losses or other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computer and information security and systems development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MAJORITY OWNERSHIP</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Edward Lampert and his investment affiliates, whose interests may be different from the interests of other stockholders, may be able to exert substantial influence over Lands’ End.</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According to an amendment to Schedule 13D filed with the SEC on March 16, 2022, Edward S. Lampert beneficially owned 51.9% of our outstanding shares of common stock as of March 16, 2022. Accordingly, Mr. Lampert could have substantial influence over many, if not all, actions to be taken or approved by our stockholders, including in the election of directors and any transactions involving a change of control. The interests of Mr. Lampert,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who has direct and indirect investments in other companies, including ESL Investments, Inc., may from time to time diverge from the interests of our other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decline if Mr. Lampert decides to sell a portion of his holdings of our common stock.</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Mr. Lampert is not subject to any contractual obligation to maintain his ownership position in Lands’ End, and we cannot assure you that he will. Any sale by Mr. Lampert of our common stock, or any announcement by Mr. Lampert that he has decided to sell shares of our common stock, could have an adverse impact on the price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existing workforce and to attract qualified new personnel in the current labor market and remote and hybrid work models could adversely affect our business and results of operations.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Due to the seasonal nature of our business, we rely heavily on flexible part-time employees to staff our distribution and customer service centers to support our peak seasons, including back-to-school shopping season and fourth quarter holiday shopping season. A potential labor shortage may impact our ability to hire and retain qualified personnel and impact our ability to operate our business effectively. Depending on their position, our employees either work 100% on-site or remotely from home or in hybrid work models which allows employees to work both remotely from home and in the office. While we have developed a work model that we believe is best for operating our business, we may not be able to attract, hire or retain qualified personnel if competing companies offer a more desirable work model.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our executive management team and to attract qualified new personnel could adversely affect our business and results of operations.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train, motivate and manage employees and to attract, motivate and retain additional qualified personnel. Competition for these types of personnel is intense, and we may not be successful in attracting, assimilating and retaining the personnel required to grow and operate our business profitably.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may have an adverse effect on our business, results of operations and financial condition.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Many other factors may affect our profitability and financial condition, including:</w:t>
      </w:r>
    </w:p>
    <w:p>
      <w:pPr>
        <w:spacing w:after="0" w:line="117" w:lineRule="exact"/>
        <w:rPr>
          <w:sz w:val="20"/>
          <w:szCs w:val="20"/>
          <w:color w:val="auto"/>
        </w:rPr>
      </w:pPr>
    </w:p>
    <w:p>
      <w:pPr>
        <w:jc w:val="both"/>
        <w:ind w:left="1000" w:hanging="49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 changes in their interpretation or application, including changes in accounting standards, taxation rates and requirements, product marketing application standards as well as environmental laws, including climate-change related legislation, regulations and international accords;</w:t>
      </w:r>
    </w:p>
    <w:p>
      <w:pPr>
        <w:spacing w:after="0" w:line="67" w:lineRule="exact"/>
        <w:rPr>
          <w:rFonts w:ascii="Times New Roman" w:cs="Times New Roman" w:eastAsia="Times New Roman" w:hAnsi="Times New Roman"/>
          <w:sz w:val="18"/>
          <w:szCs w:val="18"/>
          <w:color w:val="auto"/>
        </w:rPr>
      </w:pPr>
    </w:p>
    <w:p>
      <w:pPr>
        <w:jc w:val="both"/>
        <w:ind w:left="1000" w:hanging="49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fair value measurement of assets and liabilities and their actual value, particularly for intangibles and goodwill, contingent liabilities such as litigation, the absence of a recorded amount, or an amount recorded at the minimum, compared to the actual amount;</w:t>
      </w:r>
    </w:p>
    <w:p>
      <w:pPr>
        <w:spacing w:after="0" w:line="6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inflation, such as current inflationary pressures, interest rates and the performance of investments held by us;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creditworthiness of counterparties that transact business with or provide services to us;</w:t>
      </w:r>
    </w:p>
    <w:p>
      <w:pPr>
        <w:spacing w:after="0" w:line="117" w:lineRule="exact"/>
        <w:rPr>
          <w:rFonts w:ascii="Times New Roman" w:cs="Times New Roman" w:eastAsia="Times New Roman" w:hAnsi="Times New Roman"/>
          <w:sz w:val="18"/>
          <w:szCs w:val="18"/>
          <w:color w:val="auto"/>
        </w:rPr>
      </w:pPr>
    </w:p>
    <w:p>
      <w:pPr>
        <w:jc w:val="both"/>
        <w:ind w:left="1000" w:hanging="49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economic and political conditions, including political instability, war, such as the current conflict with Russia and Ukraine, hostilities in the Middle East, increasing tensions in Southeast Asia,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71"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claim experiences and higher than expected large claims under our self-insured health and workers’ compensation insurance programs;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00" w:hanging="49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financial institutions in which we maintain cash deposits, including those where balances may exceed Federal Deposit Insurance Corporation (“FDIC”) insurance limits.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due to several factors, some of which may be beyond our control, including:</w:t>
      </w:r>
    </w:p>
    <w:p>
      <w:pPr>
        <w:spacing w:after="0" w:line="117"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our ability to meet those estimates;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and legal environment under which we operate;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11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Further, when the market price of a company’s common stock drops significantly, stockholders often initiate securities class action lawsuits against the company. A lawsuit against us could cause us to incur substantial costs and could divert the time and attention of our senior management and other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Lands’ End may be diluted in the future.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the future, your percentage ownership in Lands’ End may be diluted because of equity issuances for acquisitions, strategic investments, capital market transactions or otherwise, including equity awards that we may grant to our directors, officers and employees.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Exposure to periodic litigation and other regulatory proceedings, including with respect to product liability claims. These proceedings may be affected by changes in laws and government regulations or changes in their enforcement.</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lawsuits and regulatory actions relating to our business or products we sell or have sold. These proceedings may be in jurisdictions with reputations for aggressive application of laws and procedures against corporate defendants. We are impacted by trends in litigation, including class-action allegations brought under various consumer protection and employment laws, including wage and hour laws, privacy laws, and laws relating to eCommerce. Due to the inherent uncertainties of litigation and regulatory proceedings, we cannot accurately predict the ultimate outcome of any such proceedings. An unfavorable outcome could have an adverse effect on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assessments for additional state taxes, which could adversely affect our business.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accordance with current law, we pay, collect and/or remit taxes for Federal, State and local and foreign jurisdictions where we are required by law. While we believe that we have appropriately remitted all taxes based on our interpretation of applicable law, tax laws are complex, and their application differs by taxing jurisdiction.</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An increasing number of taxing jurisdictions may attempt to assess additional taxes and penalties on us or assert an error in our calculation. These include new obligations to collect sales, consumption, value added, or other taxes on online marketplaces and remote sellers, or other requirements that may result in liability for third-party obligations. A change in the application of law, or an interpretation of the law that differs from our own may, if successful, adversely affect our business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data security incident response policy and a security incident response plan, which were first developed in 2017 and are periodically reviewed and updated.</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have designed and assessed our program based on the National Institute of Standards and Technology Cybersecurity Framework (“NIST CSF”). This does not imply that we meet any particular technical standards, specifications, or requirements, rather only that we use the NIST CSF as a guide to help us identify, assess, and manage cybersecurity risks relevant to our business.</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our legal, compliance, strategic, operational, and financial risk areas.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00" w:hanging="49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data security incident response policy and a security incident response plan that include detailed procedures for responding to cybersecurity incidents, determining severity of cybersecurity incidents and notifying appropriate internal and external parties;</w:t>
      </w:r>
    </w:p>
    <w:p>
      <w:pPr>
        <w:spacing w:after="0" w:line="53"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and internal risk assessments designed to help identify material cybersecurity risks to our critical systems, information, products, services, and our broader enterprise information technology environment;</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consisting of members of our information technology department,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tabletop exercises involving the security team, the data security incident management team, and members of management, with special sessions expected to occur for the Board of Directors;</w:t>
      </w:r>
    </w:p>
    <w:p>
      <w:pPr>
        <w:spacing w:after="0" w:line="53"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audit by a Payment Card Industry (“PCI”) qualified security risk assessor to validate our PCI compliance;</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awareness training, including social engineering and phishing testing of our employees, incident response personnel, and senior management;</w:t>
      </w:r>
    </w:p>
    <w:p>
      <w:pPr>
        <w:spacing w:after="0" w:line="53"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external tools designed to detect and protect against spam, malware and other cybersecurity threats and train personnel; and</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security event monitoring.</w:t>
      </w:r>
    </w:p>
    <w:p>
      <w:pPr>
        <w:spacing w:after="0" w:line="11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will be adequate, fully complied with or effective in protecting our systems and information.</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INFORMATION TECHNOLOGY, CYBERSECURITY AND DATA PRIVACY.”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data protection and cybersecurity risks as part of the Audit Committee’s oversight of the Company’s enterprise risk management framework. The Audit Committee regularly reports to the full Board regarding its activities, including those related to cybersecurity.</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Audit Committee receives regular reports from management on our cybersecurity risks, which include updates on trends and threats, the Company’s backup and response systems, internal and external risk assessments, results of PCI and other security audits, and planned updates and upgrades. The Audit Committee also receives regular enterprise risk management updates, which include management of cybersecurity risks.</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accordance with our data security incident response plan, management is required to promptly update and discuss with the Audit Committee any material or potentially material cybersecurity incidents and provide an update to the Board upon determination. Management regularly updates the Audit Committee regarding incidents with lesser impact potential.</w:t>
      </w:r>
    </w:p>
    <w:p>
      <w:pPr>
        <w:spacing w:after="0" w:line="68"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Chief Financial Officer, Chief Technology Officer and General Counsel (the cybersecurity disclosure committee), is responsible for assessing material risks from cybersecurity threats and our General Counsel oversees any required reporting obligations and notifications. Our Chief Technology Officer has primary responsibility for overseeing our security incident response plan, including identification and initial assessment of threat levels and escalations. Critical incidents are escalated to a cross functional data security incident management team for review, which then escalates potentially material incidents and threats to the cybersecurity disclosure committee for determinations of materiality and Audit Committee and Board communications. Our Chief Technology Officer has 20 years of experience with cybersecurity management response, and multiple direct reports who have 10 or more years of experience leading technology infrastructure and security incident response. Our General Counsel has over seven years of experience leading our incident response management team.</w:t>
      </w:r>
    </w:p>
    <w:p>
      <w:pPr>
        <w:spacing w:after="0" w:line="8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Chief Technology Officer is the primary point of responsibility for cybersecurity risk management program and supervises both our internal cybersecurity personnel and our retained external cybersecurity consultants. 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and Store Locations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own or lease domestic and international properties used as offices, customer service centers, distribution centers and Company Operated stores. We believe that our existing facilities are well maintained and are sufficient to meet our current needs. We review all leases with upcoming expiration dates in the short term to determine the appropriate action to take with respect to them, including exercising an option to renew, if any, moving or closing facilities or entering into new leases.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Domestic Headquarters, Customer Service and Distribution Properties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headquarters for our business is located on an approximately 200 acre campus in Dodgeville, Wisconsin. The Dodgeville campus includes approximately 1.8 million square feet of building space between multiple different buildings that are all owned by the Company. The primary functions of these buildings are customer service, distribution center and corporate headquarters. We also own customer service and distribution centers in Reedsburg and Stevens Point, Wisconsin.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Offices, Customer Service and Distribution Properties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a distribution center and customer service center in Oakham, United Kingdom that supports our European business. We lease two buildings in Mettlach, Germany for offices and a customer service center supporting our European Union business. We also lease office space for our global sourcing office located in Kwun Tong, Hong Kong.</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Lands’ End Retail Properties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As of February 2, 2024, our U.S. retail footprint consists of 26 Company Operated stores. The U.S. Company Operated stores are leased and average approximately 7,900 square feet. Additionally, we have one smaller school uniform showroom that is used for fittings.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pending claims, proceedings and investigations with certainty, management is of the opinion that their ultimate resolution should not have a material adverse effect on our results of operations, cash flows or financial position taken as a whole.</w:t>
      </w:r>
    </w:p>
    <w:p>
      <w:pPr>
        <w:spacing w:after="0" w:line="75"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 xml:space="preserve">Lands’ End is the defendant in three separate lawsuits, each of which allege adverse health events and personal property damage as a result of wearing uniforms manufactured by Lands’ End: (1) </w:t>
      </w:r>
      <w:r>
        <w:rPr>
          <w:rFonts w:ascii="Times New Roman" w:cs="Times New Roman" w:eastAsia="Times New Roman" w:hAnsi="Times New Roman"/>
          <w:sz w:val="18"/>
          <w:szCs w:val="18"/>
          <w:i w:val="1"/>
          <w:iCs w:val="1"/>
          <w:color w:val="auto"/>
        </w:rPr>
        <w:t>Gilbert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3:19-cv-00823-JDP, complaint filed October 3, 2019; (2) </w:t>
      </w:r>
      <w:r>
        <w:rPr>
          <w:rFonts w:ascii="Times New Roman" w:cs="Times New Roman" w:eastAsia="Times New Roman" w:hAnsi="Times New Roman"/>
          <w:sz w:val="18"/>
          <w:szCs w:val="18"/>
          <w:i w:val="1"/>
          <w:iCs w:val="1"/>
          <w:color w:val="auto"/>
        </w:rPr>
        <w:t>Andrews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3:19-cv-01066-JDP, complaint filed on December 31, 2019, on behalf of 521 named plaintiffs, later amended to include 1,089 named plaintiffs; and (3) </w:t>
      </w:r>
      <w:r>
        <w:rPr>
          <w:rFonts w:ascii="Times New Roman" w:cs="Times New Roman" w:eastAsia="Times New Roman" w:hAnsi="Times New Roman"/>
          <w:sz w:val="18"/>
          <w:szCs w:val="18"/>
          <w:i w:val="1"/>
          <w:iCs w:val="1"/>
          <w:color w:val="auto"/>
        </w:rPr>
        <w:t>Davis et al. v. Lands’ End, Inc. and Lands’ End Business Outfitters, Inc.</w:t>
      </w:r>
      <w:r>
        <w:rPr>
          <w:rFonts w:ascii="Times New Roman" w:cs="Times New Roman" w:eastAsia="Times New Roman" w:hAnsi="Times New Roman"/>
          <w:sz w:val="18"/>
          <w:szCs w:val="18"/>
          <w:color w:val="auto"/>
        </w:rPr>
        <w:t xml:space="preserve">, United States District Court for the Western District of Wisconsin, Case No. 3:20-cv-00195, complaint filed on March 4, 2020. Plaintiffs in </w:t>
      </w:r>
      <w:r>
        <w:rPr>
          <w:rFonts w:ascii="Times New Roman" w:cs="Times New Roman" w:eastAsia="Times New Roman" w:hAnsi="Times New Roman"/>
          <w:sz w:val="18"/>
          <w:szCs w:val="18"/>
          <w:i w:val="1"/>
          <w:iCs w:val="1"/>
          <w:color w:val="auto"/>
        </w:rPr>
        <w:t>Gilbert, Andrews, and Davis</w:t>
      </w:r>
      <w:r>
        <w:rPr>
          <w:rFonts w:ascii="Times New Roman" w:cs="Times New Roman" w:eastAsia="Times New Roman" w:hAnsi="Times New Roman"/>
          <w:sz w:val="18"/>
          <w:szCs w:val="18"/>
          <w:color w:val="auto"/>
        </w:rPr>
        <w:t xml:space="preserve"> seek nationwide class certification on behalf of similarly situated Delta employees.</w:t>
      </w:r>
    </w:p>
    <w:p>
      <w:pPr>
        <w:spacing w:after="0" w:line="8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By order dated April 20, 2020, the Court consolidated the Gilbert and Andrews cases (the “Consolidated Wisconsin Action”) and stayed the Davis case. Plaintiffs in the Consolidated Wisconsin Action and Davis each assert that the damages sustained by the members of the proposed class exceed $5,000,000. Plaintiffs in each case seek damages for personal injuries, pain and suffering, severe emotional distress, financial or economic loss,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medical services and expenses, lost income and other compensable injuries. Plaintiffs in the Consolidated Wisconsin Action seek class certification with respect to performance of the uniforms and warranty claims and maintain individual claims for personal injury by numerous named plaintiffs.</w:t>
      </w:r>
    </w:p>
    <w:p>
      <w:pPr>
        <w:spacing w:after="0" w:line="54"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On August 18, 2021, the Court ruled on several pending motions in the Consolidated Wisconsin Action. The Court denied Plaintiffs’ motion for class certification with respect to performance of the uniforms and warranty claims. The Court denied Plaintiffs’ motion for partial summary judgment regarding crocking claims and granted Lands’ End’s motion for partial summary judgment related to certain warranty claims. In addition, giving effect to both the addition and voluntary dismissal of individual plaintiffs over the course of the litigation, the number of individual plaintiffs had been reduced from 1,089 to 603 as of August 18, 2021. On September 1, 2021, Plaintiffs filed a Rule 23(f) petition, seeking interlocutory review of the Court’s decision denying class certification. On September 22, 2021, the U.S. Court of Appeals for the Seventh Circuit denied plaintiffs’ petition.</w:t>
      </w:r>
    </w:p>
    <w:p>
      <w:pPr>
        <w:spacing w:after="0" w:line="7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On July 8, 2022, the Court issued an Opinion and Order in the Consolidated Wisconsin Action (the “July 8 Opinion”), ruling in the Company’s favor on several additional pending motions. The Court granted the Company’s motion to exclude Plaintiffs’ expert opinions because the opinions were not based on reliably applied and scientifically valid methods. Accordingly, because Plaintiffs failed to submit evidence sufficient to show that the uniforms were defective or that a defect in the uniforms caused Plaintiffs’ alleged health problems, the Court granted the Company’s motion for summary judgement on Plaintiffs’ personal injury claims.</w:t>
      </w:r>
    </w:p>
    <w:p>
      <w:pPr>
        <w:spacing w:after="0" w:line="75"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After giving effect to the July 8 Opinion, the remaining claims under the Consolidated Wisconsin Action related to claims for property damage and breach of warranty. Following these rulings and an order of the court dated December 1, 2022, 277 named Plaintiffs remained in the case who claim they have suffered personal property damage as a result of dye transferring to personal items, with aggregate claims of approximately $110,000 in damages. The Court set a deadline for the parties to voluntarily resolve these remaining outstanding claims, and on July 19, 2023 the parties reported to the Court that they had reached a settlement in principle of the matter, and subsequently entered into a Confidential Settlement, fully resolving the outstanding property damage claims, which were the only remaining claims in the action.</w:t>
      </w:r>
    </w:p>
    <w:p>
      <w:pPr>
        <w:spacing w:after="0" w:line="7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Following the entry of the Final Order by the Court on October 12, 2023, Plaintiffs filed an appeal to the Seventh Circuit. On November 13, 2023, the Court of Appeals for the Seventh Circuit issued an Order suspending the briefing schedule pending a remand to the district court for the limited purpose of issuing a revised final judgement order. On February 15, 2024, the Court of Appeals for the Seventh District remanded the case to the District Court for entry of a final judgement. On February 20, 2024, the District Court entered final judgement in favor of Lands’ End. The Court of Appeals for the Seventh Circuit has issued a briefing schedule. Lands’ End continues its vigorous defense of this case and believes the claims are without merit.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Lands’ End’s common stock is traded on the Nasdaq Stock Market under the ticker symbol LE. There were 5,779 stockholders of record as of April 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presents a month-to-month summary of information with respect to purchases of common stock made during the fourth quarter of Fiscal 2023 pursuant to the Share Repurchase Program announced on June 28, 2022:</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6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Dollar Value (in</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thousands) of</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w:t>
            </w:r>
          </w:p>
        </w:tc>
        <w:tc>
          <w:tcPr>
            <w:tcW w:w="26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w:t>
            </w:r>
          </w:p>
        </w:tc>
        <w:tc>
          <w:tcPr>
            <w:tcW w:w="26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Yet Be Purchased</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vMerge w:val="restart"/>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40" w:type="dxa"/>
            <w:vAlign w:val="bottom"/>
          </w:tcPr>
          <w:p>
            <w:pPr>
              <w:spacing w:after="0"/>
              <w:rPr>
                <w:sz w:val="7"/>
                <w:szCs w:val="7"/>
                <w:color w:val="auto"/>
              </w:rPr>
            </w:pPr>
          </w:p>
        </w:tc>
        <w:tc>
          <w:tcPr>
            <w:tcW w:w="130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260" w:type="dxa"/>
            <w:vAlign w:val="bottom"/>
          </w:tcPr>
          <w:p>
            <w:pPr>
              <w:spacing w:after="0"/>
              <w:rPr>
                <w:sz w:val="7"/>
                <w:szCs w:val="7"/>
                <w:color w:val="auto"/>
              </w:rPr>
            </w:pPr>
          </w:p>
        </w:tc>
        <w:tc>
          <w:tcPr>
            <w:tcW w:w="1300" w:type="dxa"/>
            <w:vAlign w:val="bottom"/>
            <w:gridSpan w:val="2"/>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Under the Plans</w:t>
            </w:r>
          </w:p>
        </w:tc>
        <w:tc>
          <w:tcPr>
            <w:tcW w:w="0" w:type="dxa"/>
            <w:vAlign w:val="bottom"/>
          </w:tcPr>
          <w:p>
            <w:pPr>
              <w:spacing w:after="0"/>
              <w:rPr>
                <w:sz w:val="1"/>
                <w:szCs w:val="1"/>
                <w:color w:val="auto"/>
              </w:rPr>
            </w:pPr>
          </w:p>
        </w:tc>
      </w:tr>
      <w:tr>
        <w:trPr>
          <w:trHeight w:val="94"/>
        </w:trPr>
        <w:tc>
          <w:tcPr>
            <w:tcW w:w="2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vMerge w:val="restart"/>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68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xml:space="preserve">Paid per Share </w:t>
            </w:r>
            <w:r>
              <w:rPr>
                <w:rFonts w:ascii="Times New Roman" w:cs="Times New Roman" w:eastAsia="Times New Roman" w:hAnsi="Times New Roman"/>
                <w:sz w:val="21"/>
                <w:szCs w:val="21"/>
                <w:b w:val="1"/>
                <w:bCs w:val="1"/>
                <w:color w:val="auto"/>
                <w:w w:val="99"/>
                <w:vertAlign w:val="superscript"/>
              </w:rPr>
              <w:t>(2)</w:t>
            </w:r>
          </w:p>
        </w:tc>
        <w:tc>
          <w:tcPr>
            <w:tcW w:w="240" w:type="dxa"/>
            <w:vAlign w:val="bottom"/>
          </w:tcPr>
          <w:p>
            <w:pPr>
              <w:spacing w:after="0"/>
              <w:rPr>
                <w:sz w:val="6"/>
                <w:szCs w:val="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or Programs </w:t>
            </w:r>
            <w:r>
              <w:rPr>
                <w:rFonts w:ascii="Times New Roman" w:cs="Times New Roman" w:eastAsia="Times New Roman" w:hAnsi="Times New Roman"/>
                <w:sz w:val="21"/>
                <w:szCs w:val="21"/>
                <w:b w:val="1"/>
                <w:bCs w:val="1"/>
                <w:color w:val="auto"/>
                <w:w w:val="97"/>
                <w:vertAlign w:val="superscript"/>
              </w:rPr>
              <w:t>(3)</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 xml:space="preserve">or Programs </w:t>
            </w:r>
            <w:r>
              <w:rPr>
                <w:rFonts w:ascii="Times New Roman" w:cs="Times New Roman" w:eastAsia="Times New Roman" w:hAnsi="Times New Roman"/>
                <w:sz w:val="21"/>
                <w:szCs w:val="21"/>
                <w:b w:val="1"/>
                <w:bCs w:val="1"/>
                <w:color w:val="auto"/>
                <w:w w:val="97"/>
                <w:vertAlign w:val="superscript"/>
              </w:rPr>
              <w:t>(3)</w:t>
            </w:r>
          </w:p>
        </w:tc>
        <w:tc>
          <w:tcPr>
            <w:tcW w:w="0" w:type="dxa"/>
            <w:vAlign w:val="bottom"/>
          </w:tcPr>
          <w:p>
            <w:pPr>
              <w:spacing w:after="0"/>
              <w:rPr>
                <w:sz w:val="1"/>
                <w:szCs w:val="1"/>
                <w:color w:val="auto"/>
              </w:rPr>
            </w:pPr>
          </w:p>
        </w:tc>
      </w:tr>
      <w:tr>
        <w:trPr>
          <w:trHeight w:val="189"/>
        </w:trPr>
        <w:tc>
          <w:tcPr>
            <w:tcW w:w="2680" w:type="dxa"/>
            <w:vAlign w:val="bottom"/>
            <w:vMerge w:val="continue"/>
          </w:tcPr>
          <w:p>
            <w:pPr>
              <w:spacing w:after="0"/>
              <w:rPr>
                <w:sz w:val="16"/>
                <w:szCs w:val="16"/>
                <w:color w:val="auto"/>
              </w:rPr>
            </w:pPr>
          </w:p>
        </w:tc>
        <w:tc>
          <w:tcPr>
            <w:tcW w:w="1500" w:type="dxa"/>
            <w:vAlign w:val="bottom"/>
            <w:gridSpan w:val="2"/>
          </w:tcPr>
          <w:p>
            <w:pPr>
              <w:jc w:val="center"/>
              <w:ind w:left="68"/>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October 28 - November 24</w:t>
            </w:r>
          </w:p>
        </w:tc>
        <w:tc>
          <w:tcPr>
            <w:tcW w:w="14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239,273</w:t>
            </w:r>
          </w:p>
        </w:tc>
        <w:tc>
          <w:tcPr>
            <w:tcW w:w="3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24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239,273</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30,180</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November 25 - December 29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56,197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56,197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29,789</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December 30 - February 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29,680</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308,360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shares of common stock were retired following purchase.</w:t>
      </w:r>
    </w:p>
    <w:p>
      <w:pPr>
        <w:ind w:left="500" w:hanging="492"/>
        <w:spacing w:after="0" w:line="182" w:lineRule="auto"/>
        <w:tabs>
          <w:tab w:leader="none" w:pos="5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Average price paid per share excludes broker commissions.</w:t>
      </w:r>
    </w:p>
    <w:p>
      <w:pPr>
        <w:jc w:val="both"/>
        <w:ind w:left="500" w:hanging="492"/>
        <w:spacing w:after="0" w:line="213" w:lineRule="auto"/>
        <w:tabs>
          <w:tab w:leader="none" w:pos="50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June 28, 2022, the Company announced that its Board of Directors authorized the Company to repurchase up to $50.0 million of the Company’s common stock which authorization expired on February 2, 2024 (the “2022 Share Repurchase Program”). Amounts in this column represent the dollar value of shares that could have been purchased at such date under the 2022 Share Repurchase Program as of the last day of the listed period. On March 15, 2024, the Company announced that its Board of Directors authorized the Company to repurchase up to $25.0 million of the Company’s common stock through March 31, 2026 (the “2024 Share Repurchase Program”). The 2024 Share Repurchase Program may be suspended or discontinued at any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Lands’ End common stock from February 1, 2019 through February 2, 2024 with the return on the Nasdaq Composite Index and S&amp;P 600 Apparel Retail Index for the same period.</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graph assumes an initial investment of $100 on February 1, 2019 in each of our common stock, the Nasdaq Composite Index, and the S&amp;P 600 Apparel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45720</wp:posOffset>
            </wp:positionV>
            <wp:extent cx="4345940" cy="2083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45940"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2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2/1/2019</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w w:val="98"/>
              </w:rPr>
              <w:t>1/31/2020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1/29/2021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w w:val="98"/>
              </w:rPr>
              <w:t>1/28/2022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w w:val="98"/>
              </w:rPr>
              <w:t>1/27/2023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2/2/2024</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Lands’ End, Inc.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52</w:t>
            </w: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Nasdaq Composite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215</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S&amp;P 600 Apparel Retail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113</w:t>
            </w:r>
          </w:p>
        </w:tc>
      </w:tr>
    </w:tbl>
    <w:p>
      <w:pPr>
        <w:spacing w:after="0" w:line="285"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or incorporated by reference into any of our filings, as amended, with the SEC, except as shall be expressly set forth by specific reference in such filing.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have not paid and we do not expect to pay in the foreseeable future, dividends on our common stock. Any payment of dividends will be at the discretion of our Board of Directors and will depend upon various factors then existing, including earnings, financial condition, results of operations, capital requirements, level of indebtedness, any contractual restrictions with respect to payment of dividends, restrictions imposed by applicable law, general business conditions and other factors that our Board of Directors may deem relevant. Additionally, the Debt Facilities contain various representations and warranties and restrictive covenants that, among other things, and subject to specified exceptions, restrict the ability of Lands’ End and its subsidiaries to make dividends or distributions with respect to capital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included elsewhere in this Annual Report on Form 10-K. Management’s Discussion and Analysis of Financial Condition and Results of Operations contains forward-looking statements. The matters discussed in these forward-looking statements are subject to risks, uncertainties, and other factors that could cause actual results to differ materially from those made, projected or implied in the forward-looking statements. See “Cautionary Statement Concerning Forward-Looking Statements” below and Item 1A, Risk Factors, in this Annual Report on Form 10-K for a discussion of the uncertainties, risks and assumptions associated with these statements.</w:t>
      </w:r>
    </w:p>
    <w:p>
      <w:pPr>
        <w:spacing w:after="0" w:line="7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discusses our results of operations for the year ended February 2, 2024 as compared to the year ended January 27, 2023. For a discussion and analysis of the year ended January 27, 2023 compared to January 28, 2022, please refer to “Management’s Discussion and Analysis of Financial Condition and Results of Operations” included in Item 7 of our Annual Report on Form 10-K for the year ended January 27, 2023, filed with the SEC on April 10, 2023.</w:t>
      </w:r>
    </w:p>
    <w:p>
      <w:pPr>
        <w:spacing w:after="0" w:line="72" w:lineRule="exact"/>
        <w:rPr>
          <w:sz w:val="20"/>
          <w:szCs w:val="20"/>
          <w:color w:val="auto"/>
        </w:rPr>
      </w:pPr>
    </w:p>
    <w:p>
      <w:pPr>
        <w:jc w:val="both"/>
        <w:ind w:right="20"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references to the “Company”, “Lands’ End”, “we”, “us”, “our” and similar terms refer to Lands’ End, Inc. and its subsidiaries. Our fiscal year ends on the Friday preceding the Saturday closest to January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Lands’ End, Inc. is a leading digital retailer of solution-based apparel, swimwear, outerwear, accessories, footwear, home products and uniforms. We offer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through third-party distribution channels and our own Company Operated stores. We also offer products to businesses and schools, for their employees and students, through the Outfitters distribution channel. We are a classic American lifestyle brand that creates solutions for life’s every journey.</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We have one external reportable segment and identify our operating segments according to how our business activities are managed and evaluated. During Fiscal 2023, our operating segments consisted of: U.S. eCommerce, Europe eCommerce, Outfitters, Third Party and Retail. Our operating segments included Japan eCommerce during Fiscal 2022.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have determined that each of our operating segments share similar economic and other qualitative characteristics, and therefore, the results of our operating segments are aggregated into one external reportable segment.</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identify five separate distribution channels for revenue reporting purposes:</w:t>
      </w:r>
    </w:p>
    <w:p>
      <w:pPr>
        <w:spacing w:after="0" w:line="115" w:lineRule="exact"/>
        <w:rPr>
          <w:sz w:val="20"/>
          <w:szCs w:val="20"/>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our eCommerce website.</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products primarily to consumers located in Europe and through eCommerce international websites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ind w:left="1000" w:right="20" w:hanging="493"/>
        <w:spacing w:after="0" w:line="28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the same products as U.S. eCommerce but direct to consumers through third-party marketplace websites and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wholesale relationships.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Macroeconomic issues, such as high interest rates and inflationary pressures have continued to have an impact on our business. Since apparel purchases are discretionary expenditures that historically have been influenced by domestic and global economic conditions, higher prices of consumer goods due to inflation may result in less discretionary spending for consumers which may negatively impact customer demand and require higher levels of promotion in order to attract and retain customers. Additionally, interest expense could be negatively affected by any rate increases due to the variable interest rates associated with our Debt Facilities. These macroeconomic challenges have led to increased cost of raw materials, packaging materials, labor, energy, fuel and other inputs necessary for the production and distribution of our products.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Corporate Restructuring</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We reduced approximately 10% of positions in the corporate offices and the Hong Kong sourcing office during Fiscal 2023. We incurred $7.3 million of total corporate restructuring costs, which includes $6.2 million of employee severance and benefit costs and $1.1 million of other related costs, which was recorded in Other operating expense, net in the Consolidated Statements of Operations. As of February 2, 2024, approximately $2.9 million of the employee severance and benefit costs and $1.1 million of the other related costs had yet to be paid and are included in Accrued expenses and other current liabilities in the Consolidated Balance Sheets.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Lands’ End Japan Closure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During Second Quarter 2022, the Board of Directors approved a plan to wind down and cease operations of Lands’ End Japan KK. Lands’ End Japan KK represents the Japan eCommerce operating segment. For a discussion on this operating segment, see Note 13, </w:t>
      </w:r>
      <w:r>
        <w:rPr>
          <w:rFonts w:ascii="Times New Roman" w:cs="Times New Roman" w:eastAsia="Times New Roman" w:hAnsi="Times New Roman"/>
          <w:sz w:val="18"/>
          <w:szCs w:val="18"/>
          <w:i w:val="1"/>
          <w:iCs w:val="1"/>
          <w:color w:val="auto"/>
        </w:rPr>
        <w:t>Segment Reportin</w:t>
      </w:r>
      <w:r>
        <w:rPr>
          <w:rFonts w:ascii="Times New Roman" w:cs="Times New Roman" w:eastAsia="Times New Roman" w:hAnsi="Times New Roman"/>
          <w:sz w:val="18"/>
          <w:szCs w:val="18"/>
          <w:color w:val="auto"/>
        </w:rPr>
        <w:t xml:space="preserve">g. During Fiscal 2023 and Fiscal 2022 we incurred closing costs of approximately $0.3 million and $3.0 million, respectively, recorded in Other operating expense, net in the Consolidated Statements of Operations.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 The final liquidation occurred in First Quarter 2024.</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Challenges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Like many industries, we experienced global supply chain challenges that impacted our distribution process, third-party manufacturing partners and logistics partners, including shipping delays due to port congestion and closure of certain third-party manufacturing facilities and production lines. These global supply chain challenges caused manufacturing, transport and receipt of inbound product delays that increased our logistics costs during the first half of Fiscal 2022. These global supply chain challenges began to normalize in the second half of Fiscal 2022 and throughout Fiscal 2023.</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GAAP and include the accounts of Lands’ End, Inc. and its subsidiaries. All intercompany transactions and balances have been eliminated.</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Net revenue and operating results and historically have realized a significant portion of our yearly net revenue and earnings during our fourth fiscal quarter. We generated approximately 34.0% of our yearly net revenue in the fourth quarters of Fiscal 2023 and Fiscal 2022. Thus, lower than expected fourth quarter net revenue may have an adverse impact on our annual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and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Our fiscal year end is on the Friday preceding the Saturday closest to January 31 each year. The fiscal periods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as follows, unless the context otherwise requires:</w:t>
      </w:r>
    </w:p>
    <w:p>
      <w:pPr>
        <w:spacing w:after="0" w:line="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0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Weeks</w:t>
            </w: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2024</w:t>
            </w:r>
          </w:p>
        </w:tc>
        <w:tc>
          <w:tcPr>
            <w:tcW w:w="2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3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2023</w:t>
            </w:r>
          </w:p>
        </w:tc>
        <w:tc>
          <w:tcPr>
            <w:tcW w:w="19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1,472,508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1,555,429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(excluding depreciation</w:t>
            </w:r>
          </w:p>
        </w:tc>
        <w:tc>
          <w:tcPr>
            <w:tcW w:w="300" w:type="dxa"/>
            <w:vAlign w:val="bottom"/>
          </w:tcPr>
          <w:p>
            <w:pPr>
              <w:spacing w:after="0"/>
              <w:rPr>
                <w:sz w:val="19"/>
                <w:szCs w:val="19"/>
                <w:color w:val="auto"/>
              </w:rPr>
            </w:pPr>
          </w:p>
        </w:tc>
        <w:tc>
          <w:tcPr>
            <w:tcW w:w="10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846,981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961,663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34"/>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amortization)</w:t>
            </w: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3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625,527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593,766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550,211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527,374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38,741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3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48,291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39,768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3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(131,817 )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(9.0 )%</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30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(8.9 )%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and amortization are not included in our cost of sales because we are a reseller of inventory and do not believe that including depreciation and amortization is meaningful. As a result, our gross margins may not be comparable to other entities that include depreciation and amortization related to the sale of their product in their gross margin measure.</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Definitions, Reconciliations and Uses of Non-GAAP Financial Measures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addition to our Net income (loss) determined in accordance with GAAP, for purposes of evaluating operating performance, we report the following non-GAAP measures: Adjusted net income (loss) and Adjusted EBITDA. Adjusted net income (loss) is also expressed on a diluted per share basis.</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believe presenting non-GAAP financial measures provides useful information to investors, allowing them to assess how the business performed excluding the effects of significant non-recurring or non-operational amounts. We believe the use of the non-GAAP financial measures facilitates comparing the results being reported against past and future results by eliminating amounts that we believe are not comparable between periods and assists investors in evaluating the effectiveness of our operations and underlying business trends in a manner that is consistent with management’s own methods for evaluating business performance.</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management uses Adjusted net income (loss) and Adjusted EBITDA to evaluate the operating performance of our business for comparable periods and to discuss our business with our Board of Directors, institutional investors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market participants. Adjusted EBITDA is also used as the basis for a performance measure used in executive incentive compensation.</w:t>
      </w:r>
    </w:p>
    <w:p>
      <w:pPr>
        <w:spacing w:after="0" w:line="11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net income (loss) and Adjusted EBITDA should not be used by investors or other third parties as the sole basis for formulating investment decisions as these measures may exclude a number of important cash and non-cash recurring items.</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Adjusted net income (loss) is defined as net income (loss) excluding significant non-recurring or non-operational items as set forth below. Adjusted net income (loss) is also presented on a diluted per share basis. While Adjusted net income (loss) is a non-GAAP measurement, management believes that it is an important indicator of operating performance and useful to investors.</w:t>
      </w:r>
    </w:p>
    <w:p>
      <w:pPr>
        <w:spacing w:after="0" w:line="68" w:lineRule="exact"/>
        <w:rPr>
          <w:sz w:val="20"/>
          <w:szCs w:val="20"/>
          <w:color w:val="auto"/>
        </w:rPr>
      </w:pPr>
    </w:p>
    <w:p>
      <w:pPr>
        <w:ind w:left="100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non-recurring or non-operational items, while periodically affecting our results, may vary significantly from period to period and have a disproportionate effect in a given period, which affects comparability of results and are described below:</w:t>
      </w:r>
    </w:p>
    <w:p>
      <w:pPr>
        <w:spacing w:after="0" w:line="53"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long-lived asset impairment – charges associated with the non-cash write down of goodwill and certain long-lived assets for Fiscal 2023 and Fiscal 2022, respectively.</w:t>
      </w:r>
    </w:p>
    <w:p>
      <w:pPr>
        <w:spacing w:after="0" w:line="53"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costs – charges associated to exit the kids and footwear lines of business including inventory excess and obsolescence reserves, inventory discounts and operational charges recorded in Fiscal 2023 in conjunction with our licensing arrangements commencing in Fiscal 2024.</w:t>
      </w:r>
    </w:p>
    <w:p>
      <w:pPr>
        <w:spacing w:after="0" w:line="67"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restructuring – severance and benefit costs and other related costs associated with reduction in corporate positions in our corporate offices and Hong Kong sourcing office for Fiscal 2023.</w:t>
      </w:r>
    </w:p>
    <w:p>
      <w:pPr>
        <w:spacing w:after="0" w:line="53"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 prepayment premium associated with the repayment of the Former Term Loan Facility before the scheduled maturity date and the write off of related unamortized original issue discount and debt issuance costs of the Former Term Loan Facility for Fiscal 2023.</w:t>
      </w:r>
    </w:p>
    <w:p>
      <w:pPr>
        <w:spacing w:after="0" w:line="67"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 End Japan closure – net operating income (loss) from liquidation and closing costs recorded for Fiscal 2023 and Fiscal 2022,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reconciliation of Net loss to Adjusted net loss and Adjusted diluted net loss per share:</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52"/>
        </w:trPr>
        <w:tc>
          <w:tcPr>
            <w:tcW w:w="6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40" w:type="dxa"/>
            <w:vAlign w:val="bottom"/>
          </w:tcPr>
          <w:p>
            <w:pPr>
              <w:spacing w:after="0"/>
              <w:rPr>
                <w:sz w:val="21"/>
                <w:szCs w:val="21"/>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0" w:type="dxa"/>
            <w:vAlign w:val="bottom"/>
          </w:tcPr>
          <w:p>
            <w:pPr>
              <w:spacing w:after="0"/>
              <w:rPr>
                <w:sz w:val="1"/>
                <w:szCs w:val="1"/>
                <w:color w:val="auto"/>
              </w:rPr>
            </w:pPr>
          </w:p>
        </w:tc>
      </w:tr>
      <w:tr>
        <w:trPr>
          <w:trHeight w:val="228"/>
        </w:trPr>
        <w:tc>
          <w:tcPr>
            <w:tcW w:w="6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(130,684</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long-lived asset impairment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Exit costs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Corporate restructuring</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Lands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End Japan closure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(215 )</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Tax effects on adjustments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(3,834 )</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(1,723 )</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DILUTED NET LOSS PER SHARE</w:t>
            </w:r>
          </w:p>
        </w:tc>
        <w:tc>
          <w:tcPr>
            <w:tcW w:w="3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tax impact of adjustments is calculated at the applicable U.S. and non-U.S. Federal and State statutory rates.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While Adjusted EBITDA is a non-GAAP measurement, management believes that it is an important indicator of operating performance, and useful to investors because EBITDA excludes the effects of financings, investing activities and tax structure by eliminating the effects of interest, depreciation and income tax.</w:t>
      </w:r>
    </w:p>
    <w:p>
      <w:pPr>
        <w:spacing w:after="0" w:line="68" w:lineRule="exact"/>
        <w:rPr>
          <w:sz w:val="20"/>
          <w:szCs w:val="20"/>
          <w:color w:val="auto"/>
        </w:rPr>
      </w:pPr>
    </w:p>
    <w:p>
      <w:pPr>
        <w:ind w:left="100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items, while periodically affecting our results, may vary significantly from period to period and have a disproportionate effect in a given period, which affects comparability of results and are described below:</w:t>
      </w:r>
    </w:p>
    <w:p>
      <w:pPr>
        <w:spacing w:after="0" w:line="53"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long-lived asset impairment – charges associated with the non-cash write down of goodwill and certain long-lived assets in Fiscal 2023 and Fiscal 2022.</w:t>
      </w:r>
    </w:p>
    <w:p>
      <w:pPr>
        <w:spacing w:after="0" w:line="53"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costs – charges associated to exit the kids and footwear lines of business including inventory excess and obsolescence reserves, inventory discounts and operational charges recorded in Fiscal 2023 in conjunction with our licensing arrangements commencing in Fiscal 2024.</w:t>
      </w:r>
    </w:p>
    <w:p>
      <w:pPr>
        <w:spacing w:after="0" w:line="67"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restructuring – severance and benefit costs and other related costs associated with reduction in corporate positions in our corporate offices and Hong Kong sourcing office in Fiscal 2023.</w:t>
      </w:r>
    </w:p>
    <w:p>
      <w:pPr>
        <w:spacing w:after="0" w:line="53"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 End Japan closure – net operating income (loss) from liquidation and closing costs recorded in Fiscal 2023 and Fiscal 2022</w:t>
      </w:r>
    </w:p>
    <w:p>
      <w:pPr>
        <w:spacing w:after="0" w:line="117"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 or loss on disposal of property and equipment – disposal of property and equipment in Fiscal 2023 and Fiscal 2022.</w:t>
      </w:r>
    </w:p>
    <w:p>
      <w:pPr>
        <w:spacing w:after="0" w:line="117"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amortization of transaction related costs associated with our Third Party distribution channel in Fiscal 2023 and Fiscal 2022.</w:t>
      </w:r>
    </w:p>
    <w:p>
      <w:pPr>
        <w:spacing w:after="0" w:line="11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both in dollars and as a percentage of Net revenue and a reconciliation of Net loss to Adjusted EBITDA:</w:t>
      </w:r>
    </w:p>
    <w:p>
      <w:pPr>
        <w:spacing w:after="0" w:line="63" w:lineRule="exact"/>
        <w:rPr>
          <w:sz w:val="20"/>
          <w:szCs w:val="20"/>
          <w:color w:val="auto"/>
        </w:rPr>
      </w:pPr>
    </w:p>
    <w:tbl>
      <w:tblPr>
        <w:tblLayout w:type="fixed"/>
        <w:tblInd w:w="1140" w:type="dxa"/>
        <w:tblCellMar>
          <w:top w:w="0" w:type="dxa"/>
          <w:left w:w="0" w:type="dxa"/>
          <w:bottom w:w="0" w:type="dxa"/>
          <w:right w:w="0" w:type="dxa"/>
        </w:tblCellMar>
      </w:tblPr>
      <w:tr>
        <w:trPr>
          <w:trHeight w:val="252"/>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(130,684 )</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(12,530 )</w:t>
            </w: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(1,133 )</w:t>
            </w:r>
          </w:p>
        </w:tc>
        <w:tc>
          <w:tcPr>
            <w:tcW w:w="520" w:type="dxa"/>
            <w:vAlign w:val="bottom"/>
          </w:tcPr>
          <w:p>
            <w:pPr>
              <w:spacing w:after="0"/>
              <w:rPr>
                <w:sz w:val="20"/>
                <w:szCs w:val="20"/>
                <w:color w:val="auto"/>
              </w:rPr>
            </w:pPr>
          </w:p>
        </w:tc>
        <w:tc>
          <w:tcPr>
            <w:tcW w:w="8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(0.1 )%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(2,149 )</w:t>
            </w:r>
          </w:p>
        </w:tc>
        <w:tc>
          <w:tcPr>
            <w:tcW w:w="5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48,291</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tcPr>
          <w:p>
            <w:pPr>
              <w:spacing w:after="0"/>
              <w:rPr>
                <w:sz w:val="21"/>
                <w:szCs w:val="21"/>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(655 )</w:t>
            </w:r>
          </w:p>
        </w:tc>
        <w:tc>
          <w:tcPr>
            <w:tcW w:w="520" w:type="dxa"/>
            <w:vAlign w:val="bottom"/>
          </w:tcPr>
          <w:p>
            <w:pPr>
              <w:spacing w:after="0"/>
              <w:rPr>
                <w:sz w:val="21"/>
                <w:szCs w:val="21"/>
                <w:color w:val="auto"/>
              </w:rPr>
            </w:pPr>
          </w:p>
        </w:tc>
        <w:tc>
          <w:tcPr>
            <w:tcW w:w="8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(0.0 )%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(364 )</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16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38,465</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long-lived asset impairment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Exit costs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00" w:type="dxa"/>
            <w:vAlign w:val="bottom"/>
          </w:tcPr>
          <w:p>
            <w:pPr>
              <w:spacing w:after="0"/>
              <w:rPr>
                <w:sz w:val="21"/>
                <w:szCs w:val="21"/>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Corporate restructuring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tcPr>
          <w:p>
            <w:pPr>
              <w:spacing w:after="0"/>
              <w:rPr>
                <w:sz w:val="18"/>
                <w:szCs w:val="18"/>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Lands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End Japan closure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(215 )</w:t>
            </w:r>
          </w:p>
        </w:tc>
        <w:tc>
          <w:tcPr>
            <w:tcW w:w="520" w:type="dxa"/>
            <w:vAlign w:val="bottom"/>
          </w:tcPr>
          <w:p>
            <w:pPr>
              <w:spacing w:after="0"/>
              <w:rPr>
                <w:sz w:val="24"/>
                <w:szCs w:val="24"/>
                <w:color w:val="auto"/>
              </w:rPr>
            </w:pPr>
          </w:p>
        </w:tc>
        <w:tc>
          <w:tcPr>
            <w:tcW w:w="8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(0.0 )%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(530 )</w:t>
            </w:r>
          </w:p>
        </w:tc>
        <w:tc>
          <w:tcPr>
            <w:tcW w:w="5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84,301</w:t>
            </w:r>
          </w:p>
        </w:tc>
        <w:tc>
          <w:tcPr>
            <w:tcW w:w="18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70,497</w:t>
            </w:r>
          </w:p>
        </w:tc>
        <w:tc>
          <w:tcPr>
            <w:tcW w:w="16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assessing the operational performance of our business, we consider a variety of financial measures. We operate in five separate distribution channels for revenue reporting purposes: U.S. eCommerce, International, Outfitters, Third Party and Retail. A key measure in the evaluation of our business is revenue performance by distribution channel. We also consider Gross margin and Selling and administrative expenses in evaluating the performance of our business.</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use Net revenue to evaluate revenue performance for the U.S. eCommerce, International, Outfitters and Third Party distribution channels. For our Retail distribution channel, we use Same Store Sales as a key measure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evaluating performance. A Company Operated store is included in U.S. Same Store Sales calculations when it has been open for at least 14 months. Online sales and sales generated through our in-store web portal are considered revenue in our U.S. eCommerce and are excluded from U.S. Same Store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Compared to Fiscal 2022</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Net revenue was $1.47 billion in Fiscal 2023, a decrease of $82.9 million or 5.3% from $1.56 billion in Fiscal 2022.</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is presented by distribution channel in the following table:</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4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U.S. eCommerce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930,314</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955,752</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61.4%</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112,855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166,627</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10.7%</w:t>
            </w: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269,943</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265,898</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17.1%</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111,826</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118,996</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7.7%</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Retail</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47,570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48,156</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3.1%</w:t>
            </w: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1,472,508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1,555,429</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U.S. eCommerce Net revenue was $930.3 million in Fiscal 2023, a decrease of $25.5 million or 2.7% from $955.8 million in Fiscal 2022. The decrease in U.S. eCommerce was primarily driven by lower promotional activity within swimwear, outerwear and newness in adjacent product categories and improved inventory management resulting in higher margins with less clearance inventory sales.</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International Net revenue was $112.9 million in Fiscal 2023, a decrease of $53.7 million or 32.3% from $166.6 million in Fiscal 2022. Excluding the $32.7 million from the closing of Lands’ End Japan at the end of Fiscal 2022, Net revenue for International eCommerce decreased 15.7%. The decrease in International eCommerce was due to continued assortment editing with a focus on key product solutions resulting in higher margins and reduced clearance inventory sales in Europe.</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Outfitters Net revenue was $269.9 million in Fiscal 2023, an increase of $4.0 million or 1.5% from $265.9 million in Fiscal 2022. Compared to the Fiscal 2022, the increase was primarily driven by inventory sales to Delta Air Lines at the conclusion of their five-year contract in the First Quarter 2023 offset by Delta Air Lines sales in the remaining three quarters of Fiscal 2022.</w:t>
      </w:r>
    </w:p>
    <w:p>
      <w:pPr>
        <w:spacing w:after="0" w:line="68"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Third Party Net revenue was $111.8 million in Fiscal 2023, a decrease of $7.2 million or 6.0% from $119.0 million in Fiscal 2022. The decrease was primarily driven by a decline in demand with one wholesale partner partially offset by growth in online sales through other existing marketplaces.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Retail Net revenue was $47.6 million in Fiscal 2023, a decrease of $0.6 million or 1.2% from $48.2 million in Fiscal 2022. Our U.S. Company Operated Stores experienced an increase of 3.1% in Same Store Sales as compared to Fiscal 2022. On February 2, 2024, there were 26 U.S. Company Operated stores compared to 28 U.S. Company Operated stores on January 27, 2023.</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Fiscal 2023, total Gross profit increased 5.3% to $625.5 million compared to $593.8 million for Fiscal 2022. Gross margin increased 430 basis points to 42.5% of total Net revenue in Fiscal 2023 from 38.2% of total Net revenue in Fiscal 2022. The basis point improvement in Gross margin was predominantly driven by leveraging the strength in product solutions and newness across the channels, reduction in clearance inventory and improvements in supply chain costs for Fiscal 2023 compared to prior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were $550.2 million, or 37.4% of total Net revenue in Fiscal 2023 compared to $527.4 million, or 33.9% of total Net revenue in Fiscal 2022. The approximately 350 basis points increase was driven by deleveraging from lower revenues and higher incentive-related personnel costs, partially offset by lower digital marketing spend and continued cost controls.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and amortization were $38.5 million in Fiscal 2023, a decrease of $0.2 million or 0.5%, compared to $38.7 million in Fiscal 2022.</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Goodwill impairment was $106.7 million in Fiscal 2023, compared to none in Fiscal 2022. We recorded full impairment of the $70.4 million and $36.3 million of goodwill allocated to our U.S. eCommerce and Outfitters reporting units, respectively, in Fiscal 2023, due to the decline in stock price and market capitalization, as well as current market conditions and macroeconomic conditions.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Goodwill and Indefinite-Lived Intangible Asset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 Net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Other operating expense, net was $7.7 million in Fiscal 2023 compared to $2.9 million in Fiscal 2022. The $4.8 million increase was primarily attributed to $7.3 million of corporate restructuring costs, primarily severance and benefit costs, related to reduction in corporate positions in our corporate offices and Hong Kong sourcing office, compared to $3.0 million of Lands’ End Japan closing costs recorded in Fiscal 2022.</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(Loss) Income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Operating loss was $77.5 million in Fiscal 2023, compared to Operating income of $24.8 million in Fiscal 2022. The decrease of $102.3 million was a result of the $106.7 million non-cash goodwill impairment charge recorded in Third Quarter 2023.</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Interest expense was $48.3 million in Fiscal 2023, compared to $39.8 million in Fiscal 2022. The $8.5 million increase was driven by higher applicable interest rates under the Debt Facilities and Former Term Loan Facility and outstanding balances on the revolving ABL Facility.</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Loss on extinguishment of debt was $6.7 million in Fiscal 2023, compared to none in Fiscal 2022. We incurred a 1% prepayment premium and recorded the write-off of unamortized original issue discount and debt issuance costs related to the repayment of our Former Term Loan Facility before the scheduled maturity date.</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was $0.7 million in Fiscal 2023 compared to $0.4 million in Fiscal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Income tax benefit of $1.1 million was recorded for Fiscal 2023 which resulted in an effective tax rate of 0.9%. This compared to Income tax benefit of $2.1 million in Fiscal 2022 which resulted in an effective tax rate of 14.6%. The Fiscal 2023 tax rate was lower than Fiscal 2022 due to an impairment of goodwill recorded in Fiscal 2023 that is not deductible for tax purposes.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Net loss was $130.7 million, or diluted loss per share of $4.09 in Fiscal 2023 compared to $12.5 million, or diluted loss per share of $0.38 in Fiscal 2022.</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Adjusted net loss was $4.8 million and Adjusted diluted net loss per share was $0.15 in Fiscal 2023 compared to Adjusted net loss of $7.7 million and Adjusted diluted net loss per share of $0.23 in Fiscal 2022.</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above factors, Adjusted EBITDA was $84.3 million in Fiscal 2023, compared to $70.5 million in Fiscal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debt service and for general corporate purposes. Our cash and cash equivalents and the ABL Facility serve as sources of liquidity for short-term working capital needs and general corporate purposes. The ABL Facility had no balance outstanding as of February 2, 2024, other than letters of credit. Cash generated from our net revenue and profitability, and to a lesser extent our changes in working capital, are driven by the seasonality of our business, with a significant amount of net revenue and operating cash flows generally occurring in the fourth fiscal quarter of each year. We expect that our cash on hand and cash flows from operations, along with revolving on the ABL Facility, will be adequate to meet our capital requirements and operational needs for at least the next 12 months.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Material Indebtedness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Debt Arrangement</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$275.0 million committed revolving ABL Facility includes a $70.0 million sublimit for letters of credit and is available for working capital and other general corporate liquidity needs. The amount available to borrow is the lesser of (1) the Aggregate Commitments of $275.0 million (“ABL Facility Limit”) or (2) the Borrowing Base or Loan Cap which is calculated from Eligible Inventory, Trade Receivables and Credit Card Receivables, all foregoing capitalized terms not defined herein are as defined in the ABL Facility. There was no balance outstanding as of February 2, 2024. The balance outstanding as of January 27, 2023 was $100.0 million. The balance of outstanding letters of credit was $9.1 million and $10.6 million as of February 2, 2024 and January 27, 2023, respectively.</w:t>
      </w:r>
    </w:p>
    <w:p>
      <w:pPr>
        <w:spacing w:after="0" w:line="7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On December 29, 2023, we entered into the Current Term Loan Facility which provides borrowings of $260.0 million, the proceeds of which were used to repay all of the indebtedness under the Former Term Loan Facility and to pay fees and expenses in connection with the financing. Origination costs, including a 3% original issue discount of $7.8 million and debt origination fees of $2.9 million, were incurred in connection with entering into the Current Term Loan Facility.</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a result of the Former Term Loan Facility repayment before the scheduled maturity date, the transaction was subject to a 1% prepayment premium of $2.3 million. Additionally, we recorded $4.4 million for the write off of unamortized original issue discount and debt issuance costs of the Former Term Loan Facility. These charges resulted in a loss on extinguishment of debt of $6.7 million in Fourth Quarter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Fees - ABL Facility</w:t>
      </w:r>
    </w:p>
    <w:p>
      <w:pPr>
        <w:spacing w:after="0" w:line="11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Effective May 12, 2023, we executed the Fourth Amendment (the “Fourth Amendment”) to the ABL Facility which replaced the interest rate benchmark based on LIBOR with an interest rate benchmark based on SOFR plus an adjustment of 0.10% for all loans (“ABL Adjusted SOFR”). During Second Quarter 2023, we adopted ASU 2020-04, the optional practical expedient for Reference Rate Reform related to its ABL Facility and as such, these amendments are treated as a continuation of the existing debt agreement and no gain or loss on these modifications were recorded in the Consolidated Statement of Operations. The ABL Adjusted SOFR rate is now available for all new loans after the effective date of the Fourth Amendment.</w:t>
      </w:r>
    </w:p>
    <w:p>
      <w:pPr>
        <w:spacing w:after="0" w:line="75"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Effective with the Fourth Amendment, the ABL Facility interest rate, selected at the borrower’s election, is either (1) ABL Adjusted SOFR, or (2) a base rate which is the greater of (a) the federal funds rate plus 0.50%, (b) the one-month ABL Adjusted SOFR rate plus 1.00%, or (c) the Wells Fargo “prime rate”. The borrowing margin for ABL Adjusted SOFR loans is (i) less than $95.0 million, 1.25%, (ii) equal to or greater than $95.0 million but less than $180.0 million, 1.50%, and (iii) greater than or equal to $180.0 million, 1.75%. For base rate loans, the borrowing margin is (i) less than $95.0 million, 0.50%, (ii) equal to or greater than $95.0 million but less than $180.0 million, 0.75%, and (iii) greater than or equal to $180.0 million, 1.00% (“Applicable Borrowing Margin”). The Applicable Borrowing Margin for all loans is based upon the average daily total loans outstanding for the previous quarter. The Fourth Amendment had no material interest rate impact.</w:t>
      </w:r>
    </w:p>
    <w:p>
      <w:pPr>
        <w:spacing w:after="0" w:line="8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Prior to the Fourth Amendment to the ABL Facility, the interest rate, selected at the borrower’s election, was either (1) LIBOR (plus the Applicable Borrowing Margin), or (2) a base rate (plus the Applicable Borrowing Margin) which was the greater of (a) the federal funds rate plus 0.50%, (b) the one-month LIBOR rate plus 1.00%, or (c) the Wells Fargo “prime rate”.</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ABL Facility fees include (i) commitment fees of 0.25% based upon the average daily unused commitment (aggregate commitment less loans and letter of credit outstanding) under the ABL Facility for the preceding fiscal quarter, (ii) customary letter of credit fees and (iii) customary annual agent fees. As of February 2, 2024, we had no borrowings outstanding under the ABL Facility.</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Fees - Current Term Loan Facility</w:t>
      </w:r>
    </w:p>
    <w:p>
      <w:pPr>
        <w:spacing w:after="0" w:line="11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interest rates per annum applicable to the loans under the Current Term Loan Facility are based on a fluctuating rate of interest equal to, at the Company’s election, either (1) Term Loan Adjusted SOFR loan (subject to a 2% floor) plus an applicable margin, or (2) an alternative base rate loan plus an applicable margin. The applicable margin is based on the Company’s net leverage and will be, (i) Term Loan Adjusted SOFR loans, 8.25% per annum if the total leverage ratio is greater than or equal to 2.75:1.00, 8.00% per annum if the total leverage ratio is less than 2.75:1.00 but greater than or equal to 2.25:1.00, and 7.75% per annum if the total leverage ratio is less than 2.25:1.00 and (ii) for base rate loans, 7.25% per annum if the total leverage ratio is greater than or equal to 2.75:1.00, 7.00% per annum if the total leverage ratio is less than 2.75:1.00 but greater than or equal to 2.25:1.00, and 6.75% per annum if the total leverage ratio is less than 2.25:1.00. In each case, the net leverage is determined as of the last day of each applicable measurement period.</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Customary agency fees are payable annually for the Current Term Loan Facility.</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Fees - Former Term Loan Facility</w:t>
      </w:r>
    </w:p>
    <w:p>
      <w:pPr>
        <w:spacing w:after="0" w:line="11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Effective June 22, 2023, we entered into Amendment No. 1 (the “First Amendment”) to the Former Term Loan Facility which (subject to a 1% floor) replaced the interest rate benchmark based upon LIBOR with Term Loan Adjusted SOFR. This transition resulted in no material interest rate impact. During Second Quarter 2023, the Company adopted ASU 2020-04, the optional practical expedient for Reference Rate and as such, this amendment was treated as a continuation of the existing agreement and no gain or loss on this modification was recorded in the Consolidated Statement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Effective with the First Amendment to the Former Term Loan Facility, the interest rate per annum applicable to the loans under the Former Term Loan Facility was based on a fluctuating rate of interest measured by reference to, at the borrower’s election, either (1) a Term Adjusted Loan SOFR rate plus 9.75% or (2) an alternative base rate (which is the greater of (i) the prime rate published in the Wall Street Journal, (ii) the federal funds rate, which shall be no lower than 0.00% plus ½ of 1.00%, or (iii) the one month Term Loan Adjusted SOFR rate plus 1.00% per annum) plus 8.75%.</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Prior to the First Amendment to the Former Term Loan Facility, the interest rate per annum applicable to the loans under the Former Term Loan Facility was based on a fluctuating rate of interest measured by reference to, at the borrower’s election, either (1) a LIBOR rate (with a minimum rate of 1.00%) plus 9.75% or (2) an alternative base rate (which was the greater of (i) the prime rate published in the Wall Street Journal, (ii) the federal funds rate, which was to be no lower than 0.00% plus ½ of 1.00%, or (iii) the one month LIBOR rate plus 1.00% per annum) plus 8.75%.</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Customary agency fees were paid annually for the Former Term Loan Facility.</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Maturity; Amortization and Prepayments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ABL Facility maturity date is July 29, 2026.</w:t>
      </w:r>
    </w:p>
    <w:p>
      <w:pPr>
        <w:spacing w:after="0" w:line="117"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Current Term Loan Facility will mature on December 29, 2028, will amortize at a rate equal to 1.25% per quarter. Depending upon the Company’s Total Leverage Ratio, as defined in the Current Term Loan Facility, mandatory prepayments in an amount equal to a percentage of the Company’s excess cash flows in each fiscal year, ranging from 0% to 75% are required. The Current Term Loan Facility also has typical prepayment requirements for the proceeds of certain asset sales, casualty events and extraordinary receipts. Voluntary prepayment and certain mandatory prepayments made (i) on or before December 29, 2024 would result in a prepayment premium equal to 3% of the principal amount of the loan prepaid plus a yield maintenance fee, (ii) between December 30, 2024 and December 29, 2025 would result in a prepayment premium equal to 2% of the principal amount of the loan prepaid, (iii) between December 30, 2025 and December 29, 2026, would result in a prepayment premium equal to 1% of the principal amount of the loan prepaid, (iv) between December 30, 2026 and December 29, 2027, would result in a prepayment premium equal to 0.5% of the principal amount of the loan prepaid and (v) thereafter no prepayment premium is due.</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Guarantees; Security</w:t>
      </w:r>
    </w:p>
    <w:p>
      <w:pPr>
        <w:spacing w:after="0" w:line="11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All obligations under the Debt Facilities are unconditionally guaranteed by Lands’ End, Inc. and, subject to certain exceptions, each of its existing and future direct and indirect subsidiaries. The ABL Facility is secured by a first priority security interest in certain working capital of the borrowers and guarantors consisting primarily of accounts receivable and inventory. The Current Term Loan Facility is secured by a second priority security interest in the same collateral, with certain exceptions.</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Current Term Loan Facility is secured by a first priority security interest in certain property, including certain fixed assets such as real estate, stock of subsidiaries and intellectual property, in each case, subject to certain exceptions. The ABL Facility is secured by a second priority interest in the same collateral, with certain exceptions.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Representations and Warranties; Covenants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Debt Facilities contain various representations and warranties and restrictive covenants that, among other things, restrict Lands’ End, Inc.’s and its subsidiaries’ ability to incur indebtedness (including guarantees), grant liens, make investments, make dividends or distributions with respect to capital stock, make prepayments on other indebtedness, engage in mergers or change the nature of their business.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Current Term Loan Facility contains financial covenants, including a quarterly maximum total leverage ratio test and a monthly minimum liquidity test.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$15.0 million, we will be required to comply with a minimum fixed charge coverage ratio of 1.0 to 1.0.</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Debt Facilities contain certain affirmative covenants, including reporting requirements such as delivery of financial statements, certificates and notices of certain events, maintaining insurance and providing additional guarantees and collateral in certain circumstances.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February 2, 2024, we were in compliance with our financial covenants in the Debt Facilities.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Debt Facilities include customary events of default including non-payment of principal, interest or fees, violation of covenants, inaccuracy of representations or warranties, cross defaults related to certain other material indebtedness, bankruptcy and insolvency events, invalidity or impairment of guarantees or security interests, material judgments and change of control.</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Operating activities generated net cash of $130.6 million and used net cash of $36.4 million in Fiscal 2023 and Fiscal 2022, respectively. In Fiscal 2023, net cash generated by operating activities increased $167.0 million compared to Fiscal 2022 primarily due to the year-over-year improvement in inventory flow and productivity.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$34.9 million and $29.8 million during Fiscal 2023 and Fiscal 2022, respectively. Cash used in investing activities for both years was primarily used for investments to update our digital information technology infrastructure.</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For Fiscal 2024, we plan to invest approximately $30.0 million in capital expenditures for strategic investments and infrastructure, primarily in technology and general corporate needs.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$110.1 million during Fiscal 2023 compared to net cash provided by financing activities of $73.5 million during Fiscal 2022. The decrease in net cash provided by financing activities is primarily due to lower inventory levels.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 material off-balance-sheet arrangements other than the guarantees and contractual obligations that are discussed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Information concerning our obligations and commitments to make future payments under contracts such as lease agreements and other contingent commitments, as of February 2, 2024, is aggregated in the following table:</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31"/>
        </w:trPr>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377"/>
              <w:spacing w:after="0" w:line="131" w:lineRule="exact"/>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3-4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After 5</w:t>
            </w:r>
          </w:p>
        </w:tc>
      </w:tr>
      <w:tr>
        <w:trPr>
          <w:trHeight w:val="187"/>
        </w:trPr>
        <w:tc>
          <w:tcPr>
            <w:tcW w:w="3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2"/>
        </w:trPr>
        <w:tc>
          <w:tcPr>
            <w:tcW w:w="3060" w:type="dxa"/>
            <w:vAlign w:val="bottom"/>
          </w:tcPr>
          <w:p>
            <w:pPr>
              <w:spacing w:after="0" w:line="232"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34,951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7,682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11,043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9,674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6,552</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221,000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Term Loan Facility</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ABL Facility fees</w:t>
            </w:r>
          </w:p>
        </w:tc>
        <w:tc>
          <w:tcPr>
            <w:tcW w:w="24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154,378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34,893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0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152,280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152,280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601,609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207,855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101,426</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285,776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6,552</w:t>
            </w: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ind w:left="500" w:hanging="492"/>
        <w:spacing w:after="0" w:line="232" w:lineRule="auto"/>
        <w:tabs>
          <w:tab w:leader="none" w:pos="5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Operating lease obligations consist primarily of future minimum lease commitments related to our operating leases (refer to Note 4,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of the Consolidated Financial Statements for further details).</w:t>
      </w:r>
    </w:p>
    <w:p>
      <w:pPr>
        <w:ind w:left="500" w:hanging="492"/>
        <w:spacing w:after="0" w:line="184" w:lineRule="auto"/>
        <w:tabs>
          <w:tab w:leader="none" w:pos="50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Purchase obligations primarily represent open purchase orders for inventory.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Off-Balance-Sheet Risk</w:t>
      </w:r>
    </w:p>
    <w:p>
      <w:pPr>
        <w:spacing w:after="0" w:line="11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$275.0 million committed revolving ABL Facility includes a $70.0 million sublimit for letters of credit and has a maturity date of July 29, 2026. The ABL Facility is available for working capital and other general corporate liquidity needs. There was no balance outstanding as of February 2, 2024. The balance outstanding as of January 27, 2023 was $100.0 million. The balance of outstanding letters of credit was $9.1 million and $10.6 million as of February 2, 2024 and January 27,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which requires management to make estimates and judgments that affect amounts reported in the Consolidated Financial Statements and accompanying notes. While our estimates and assumptions are based on our knowledge of current events and actions we may undertake in the future, actual results may ultimately differ from our estimates and assumptions. Our estimation processes contain uncertainties because they require management to make assumptions and apply judgment to make these estimates. Should actual results be different than our estimates, we could be exposed to gains or losses from differences that may be material.</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Our inventories consist of merchandise purchased for resale and are recorded at the lower of cost or net realizable value. The nature of our business requires that we make a significant amount of our merchandising decisions and corresponding inventory purchase commitments with vendors several months in advance of the time in which a particular merchandise item is intended to be included in the merchandise offerings. These decisions and commitments are based upon, among other possible considerations, historical sales with identical or similar merchandise, our understanding of then-prevailing trends and influences, and an assessment of likely economic conditions and various competitive factors.</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For financial reporting and tax purposes, our United States inventory, primarily merchandise held for sale, is stated at last-in, first-out (“LIFO”) cost, which is adjusted to the lower of cost or market. We account for our non-United States inventory on the first-in, first-out (“FIFO”) method. The United States inventory accounted for using the LIFO method as of percentage of the total inventory was 93% at February 2, 2024 and 92% at January 27, 2023.</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continually make assessments as to whether the carrying cost of inventory exceeds its market value and, if so, by what dollar amount. Excess inventories may be disposed of through our normal course of business. Based on historical results experienced through various methods of disposition, we will write down the carrying value of inventories that are not expected to be sold at or above cost. The excess and obsolete reserve balances were $18.1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and $13.9 million as of February 2, 2024, and January 27, 2023, respectively. For the inventory marked down to net realizable value, a one percentage point increase in our assumed recovery rates at February 2, 2024, would have had an immaterial impact on our Consolidated Financial Statements.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 Name Impairment Analysis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Goodwill and the trade name indefinite-lived intangible asset are tested separately for impairment annually or are evaluated for impairment whenever events or changes in circumstances indicate that the carrying amount may not be recoverable.</w:t>
      </w:r>
    </w:p>
    <w:p>
      <w:pPr>
        <w:spacing w:after="0" w:line="5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impairment loss calculations contain multiple uncertainties because the calculation requires management to make assumptions and to apply judgment to estimate future cash flows and asset fair values. We perform goodwill and indefinite-lived intangible asset impairment tests on an annual basis and update these annual impairment tests mid-year if events or circumstances occur that would more likely than not reduce the fair value of a reporting unit or indefinite-lived intangible asset below its carrying amount. If actual results fall short of our estimates and assumptions used in estimating future cash flows and asset fair values, we may incur future impairment charges that could be material.</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Goodwill impairment assessments</w:t>
      </w:r>
    </w:p>
    <w:p>
      <w:pPr>
        <w:spacing w:after="0" w:line="11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test goodwill for impairment using a one-step quantitative test. The quantitative test compares the reporting unit’s fair value to its carrying value. An impairment is recorded for any excess carrying value above the reporting unit’s fair value, not to exceed the amount of goodwill. We estimate fair value of our reporting units using a discounted cash flow model, commonly referred to as the income approach. The income approach uses a reporting unit’s projection of estimated operating results and cash flows that is discounted using a weighted-average cost of capital that reflects current market conditions appropriate to our reporting unit. Estimated discount rates were determined using the weighted average cost of capital for each reporting unit at the time of the analysis, taking into consideration the risks inherent within each reporting unit individually. The discounted cash flow model uses projections based on management’s best estimates of economic and market conditions over the projected period using the best information available, including growth rates in revenues, costs and estimates of future expected changes in operating margins and cash expenditures. Other significant estimates and assumptions include terminal value growth rates, weighted average cost of capital and changes in future working capital requirements.</w:t>
      </w:r>
    </w:p>
    <w:p>
      <w:pPr>
        <w:spacing w:after="0" w:line="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in our Third Quarter 2023 Form 10-Q, we considered the decline in our stock price and market capitalization, as well as current market and macroeconomic conditions, to be a triggering event for the U.S. eCommerce and Outfitters reporting units and therefore completed a test for impairment of goodwill for these reporting units as of October 27, 2023.</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impairment test resulted in full impairment of $70.4 million and $36.3 million of goodwill allocated to our U.S. eCommerce and Outfitters reporting units, respectively, recorded in Third Quarter 2023.</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Indefinite-lived intangible asset impairment assessments</w:t>
      </w:r>
    </w:p>
    <w:p>
      <w:pPr>
        <w:spacing w:after="0" w:line="11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indefinite-lived intangible asset is the Lands’ End trade name. We review the trade name for impairment on an annual basis during the fourth fiscal quarter, or whenever events or changes in circumstances indicate the carrying value may not be recoverable. The fair value of the trade name indefinite-lived intangible asset is estimated using the relief from royalty method. The relief from royalty method is based on the assumption that, in lieu of ownership, a firm would be willing to pay a royalty in order to exploit the related benefits of this asset class. The relief from royalty method involves two steps: (1) estimation of reasonable royalty rates for the assets and (2) the application of these royalty rates to a forecasted net revenue stream and discounting the resulting cash flows to determine a present value. We multiply the selected royalty rate by the forecasted net revenue stream to calculate the cost savings (relief from royalty payment) associated with the asset. The cash flows are then discounted to present value using the selected discount rate and compared to the carrying value of the asset.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in our Third Quarter 2023 Form 10-Q, the Company considered the decline in the Company’s stock price and market capitalization, as well as current market and macroeconomic conditions, to be a triggering event for the Lands’ End trade name. The fair value of the trade name indefinite-lived intangible asset was estimated using the relief from royalty method and the testing resulted in no impairment to the Lands’ End trade name.</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Fiscal 2023 and Fiscal 2022 we performed the annual testing of the indefinite-lived intangible asset, the Lands’ End trade name. The fair value exceeded the carrying value by 6.1% and 13.3% in Fiscal 2023 and Fiscal 2022, respectively, and as such, no trade name impairment charges were recorded. If actual results fall short of our estimates and assumptions used in estimating future cash flows, we may incur future impairment charges.</w:t>
      </w:r>
    </w:p>
    <w:p>
      <w:pPr>
        <w:spacing w:after="0" w:line="66" w:lineRule="exact"/>
        <w:rPr>
          <w:sz w:val="20"/>
          <w:szCs w:val="20"/>
          <w:color w:val="auto"/>
        </w:rPr>
      </w:pPr>
    </w:p>
    <w:p>
      <w:pPr>
        <w:jc w:val="both"/>
        <w:ind w:right="20" w:firstLine="49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Goodwill and Indefinite-Lived Intangible Asset</w:t>
      </w:r>
      <w:r>
        <w:rPr>
          <w:rFonts w:ascii="Times New Roman" w:cs="Times New Roman" w:eastAsia="Times New Roman" w:hAnsi="Times New Roman"/>
          <w:sz w:val="18"/>
          <w:szCs w:val="18"/>
          <w:color w:val="auto"/>
        </w:rPr>
        <w:t>, of the Notes to Consolidated Financial Statements in this Annual Report on Form 10-K for more information about these assets and the related impairment charges.</w:t>
      </w:r>
    </w:p>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 Analysis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Property and equipment are subject to a review for impairment if events or changes in circumstances indicate that the carrying amount of the asset may not be recoverable. In accordance with ASC 360, Property, Plant and Equipment (“ASC 360”) the Company reviewed the long-lived asset groups for impairment in connection with the preparation of the financial statements.</w:t>
      </w:r>
    </w:p>
    <w:p>
      <w:pPr>
        <w:spacing w:after="0" w:line="68"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Company Operated store long-lived asset group, including Operating right-of-use assets, are regularly reviewed for impairment indicators when the Company Operated store reaches Same Store Sales status. A Company Operated store is included in U.S. Same Store Sales calculations when it has been open for at least 14 months. Impairment is assessed at the individual store level which is the lowest level of identifiable cash flows and considers the estimated undiscounted cash flows over the asset’s remaining life. If estimated undiscounted cash flows are insufficient to recover the investment, an impairment loss is recognized equal to the difference between the estimated fair value of the asset and its carrying value, net of salvage, and any costs of disposition. The fair value estimate is generally the discounted amount of estimated store-specific cash flows. The Company recognized long-lived asset impairment for Operating lease right-of-use assets and property and equipment, net for individual identified Company Operated stores in the amount of no impairment and $0.5 million as of February 2, 2024, and January 27, 2023, respectively, recorded in Other operating expense, net in the Consolidated Statement of Operations.</w:t>
      </w:r>
    </w:p>
    <w:p>
      <w:pPr>
        <w:spacing w:after="0" w:line="80"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in the Company’s Third Quarter 2023 Form 10-Q, the Company tested its long-lived asset groups for impairment as of October 27, 2023. The Company assessed the recoverability of our long-lived asset groups by comparing their projected undiscounted cash flows associated over remaining estimated useful lives of the primary asset in the long-lived asset group against their respective carrying amounts. Impairment, if any, is based on the excess of the carrying amount over the fair value of those assets. Fair value is generally determined using the asset’s expected future discounted cash flows or market value, if readily determinable. If long-lived assets are determined to be recoverable, but the newly determined remaining estimated useful lives are shorter than originally estimated, the net book values of the long-lived assets are depreciated over the newly determined remaining estimated useful lives. As a result of the testing the undiscounted cash flows of the remaining asset groups exceeded their respective carrying amount resulting in no impairment.</w:t>
      </w:r>
    </w:p>
    <w:p>
      <w:pPr>
        <w:spacing w:after="0" w:line="82"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this Annual Report on Form 10-K for more information about long-lived assets and related impairment charges.</w:t>
      </w:r>
    </w:p>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We record an allowance for estimated returns based on our historical return patterns and various other assumptions that management believes to be reasonable. We do not believe there is a reasonable likelihood that there will be a material change in the future estimates or assumptions we use to calculate our sales return allowance.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if the actual rate of sales returns increases significantly, our operating results could be adversely affected. We have not made any material changes in the accounting methodology used to estimate future sales returns in the past three fiscal years.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when it is more likely than not that some portion or all of such deferred tax assets will not be realized. In determining the need for a valuation allowance, management is required to make assumptions and to apply judgment, including forecasting future income, taxable income and the mix of income or losses in the jurisdictions in which we operate. Our effective tax rate in a given financial statement period may also be materially impacted by changes in the mix and level of income or losses, changes in the expected outcome of audits, or changes in the deferred tax valuation allowance.</w:t>
      </w:r>
    </w:p>
    <w:p>
      <w:pPr>
        <w:spacing w:after="0" w:line="75"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At any point in time, many tax years are subject to or in the process of being audited by various taxing authorities. To the extent our estimates of settlements change, or the final tax outcome of these matters is different from the amounts recorded, such differences will impact the income tax provision in the period in which such determinations are made. Our income tax expense includes changes in our estimated liability for exposures associated with our various tax filing positions. Determining the income tax expense for these potential assessments requires management to make assumptions that are subject to factors such as proposed assessments by tax authorities, changes in facts and circumstances, issuance of new regulations, and resolution of tax audits. We performed an evaluation over our deferred tax assets and determined that a valuation allowance is considered necessary.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details on the valuation allowance.</w:t>
      </w:r>
    </w:p>
    <w:p>
      <w:pPr>
        <w:spacing w:after="0" w:line="8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believe the judgments and estimates discussed above are reasonable. However, if actual results fall short of our estimates or assumptions, we may be exposed to losses or gains that could be material.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 xml:space="preserve">This document contains forward-looking statements. Forward-looking statements reflect our current views with respect to, among other things, future events and performance. These statements may discuss, among other things, our net sales, gross margin, operating expenses, operating income, net income, cash flow, financial condition, financings, impairments, expenditures, growth, strategies, plans, achievements, dividends, capital structure, organizational structure, future store openings, market opportunities and general market and industry conditions. We generally identify forward-looking statements by words such as “anticipate,” “estimate,” “expect,” “intend,” “project,” “plan,” “predict,” “believe,” “seek,” “continue,” “outlook,” “may,” “might,” “will,” “should,” “can have,” “likely,” “targeting” or the negative version of these words or comparable words. Forward-looking statements are based on beliefs and assumptions made by management using currently available information. These statements are only predictions and are not guarantees of future performance, actions or events. Forward-looking statements are subject to risks and uncertainties. If one or more of these risks or uncertainties materialize, or if management’s underlying beliefs and assumptions prove to be incorrect, actual results may differ materially from those contemplated by a forward-looking statement. These risks and uncertainties include those set forth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 Forward-looking statements speak only as of the date on which they are made. We expressly disclaim any obligation to update or revise any forward-looking statement, whether as a result of new information, future events or otherwise, except as required by applicable securities laws and regulations.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Foreign Currency Exchange Risk</w:t>
      </w: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The Company’s international subsidiaries operate with functional currencies other than the U.S. dollar. Since the Company’s Consolidated Financial Statements are presented in U.S. dollars, the Company must translate all components of these financial statements from the functional currencies into U.S. dollars at exchange rates in effect during or at the end of the reporting period. Net revenue generated from the International distribution channel represented 8% of our total net revenue in Fiscal 2023. The fluctuation in the value of the U.S. dollar against other currencies affects the reported amounts of net revenues, expenses, assets and liabilities. Assuming a 10% change in foreign currency exchange rates, Fiscal 2023 net revenue would have increased or decreased by approximately $11.3 million. Translation gains or losses, which are recorded in other comprehensive income or loss, result from translation of the assets and liabilities of our international subsidiaries into U.S. dollars. Foreign currency translation gains, net, for Fiscal 2023 totaled approximately $1.0 million related to our international subsidiaries in United Kingdom, Germany and Japan. Additionally, the Company has foreign currency denominated intercompany receivables and payables that when settled result in a transaction gain or loss. A 10% change in foreign currency exchanges rates would not result in a significant transaction gain or loss in earnings. The Company does not utilize financial instruments for trading purposes or hedging and have not used any derivative financial instruments to limit foreign currency exchange rate exposures. The Company does not consider our foreign earnings to be permanently reinvested.</w:t>
      </w:r>
    </w:p>
    <w:p>
      <w:pPr>
        <w:spacing w:after="0" w:line="8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February 2, 2024, the Company had $6.7 million of cash and cash equivalents denominated in foreign currency, principally in British pound sterling, Hong Kong dollar, euro and Japanese yen.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is subject to interest rate risk with the Current Term Loan Facility and the ABL Facility, as both require the Company to pay interest on outstanding borrowings at variable rates. Each one percentage point change in interest rates (above the 2% SOFR floor) associated with the Current Term Loan Facility would result in a $2.5 million change in our annual cash interest expenses. Assuming our ABL Facility was fully drawn to a principal amount equal to $275.0 million, each one percentage point change in interest rates would result in a $2.8 million change in our annual cash interest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207"/>
        </w:trPr>
        <w:tc>
          <w:tcPr>
            <w:tcW w:w="10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r>
      <w:tr>
        <w:trPr>
          <w:trHeight w:val="20"/>
        </w:trPr>
        <w:tc>
          <w:tcPr>
            <w:tcW w:w="1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10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20" w:type="dxa"/>
            <w:vAlign w:val="bottom"/>
          </w:tcPr>
          <w:p>
            <w:pPr>
              <w:spacing w:after="0"/>
              <w:rPr>
                <w:sz w:val="24"/>
                <w:szCs w:val="24"/>
                <w:color w:val="auto"/>
              </w:rPr>
            </w:pPr>
          </w:p>
        </w:tc>
      </w:tr>
      <w:tr>
        <w:trPr>
          <w:trHeight w:val="405"/>
        </w:trPr>
        <w:tc>
          <w:tcPr>
            <w:tcW w:w="43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Firms</w:t>
            </w:r>
          </w:p>
        </w:tc>
        <w:tc>
          <w:tcPr>
            <w:tcW w:w="20" w:type="dxa"/>
            <w:vAlign w:val="bottom"/>
            <w:tcBorders>
              <w:bottom w:val="single" w:sz="8" w:color="0000EE"/>
            </w:tcBorders>
          </w:tcPr>
          <w:p>
            <w:pPr>
              <w:spacing w:after="0"/>
              <w:rPr>
                <w:sz w:val="24"/>
                <w:szCs w:val="24"/>
                <w:color w:val="auto"/>
              </w:rPr>
            </w:pPr>
          </w:p>
        </w:tc>
        <w:tc>
          <w:tcPr>
            <w:tcW w:w="6220" w:type="dxa"/>
            <w:vAlign w:val="bottom"/>
            <w:gridSpan w:val="7"/>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90"/>
        </w:trPr>
        <w:tc>
          <w:tcPr>
            <w:tcW w:w="10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Fiscal Years Ended February 2, 2024, January 27, 2023 and January 28, 2022</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160" w:type="dxa"/>
            <w:vAlign w:val="bottom"/>
            <w:tcBorders>
              <w:left w:val="single" w:sz="8" w:color="0000EE"/>
            </w:tcBorders>
            <w:gridSpan w:val="2"/>
            <w:shd w:val="clear" w:color="auto" w:fill="0000FF"/>
          </w:tcPr>
          <w:p>
            <w:pPr>
              <w:spacing w:after="0" w:line="20" w:lineRule="exact"/>
              <w:rPr>
                <w:sz w:val="1"/>
                <w:szCs w:val="1"/>
                <w:color w:val="auto"/>
              </w:rPr>
            </w:pPr>
          </w:p>
        </w:tc>
        <w:tc>
          <w:tcPr>
            <w:tcW w:w="2000" w:type="dxa"/>
            <w:vAlign w:val="bottom"/>
            <w:tcBorders>
              <w:right w:val="single" w:sz="8" w:color="0000FF"/>
            </w:tcBorders>
            <w:gridSpan w:val="3"/>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88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Operations for Fiscal Years Ended February 2, 2024, January 27, 2023 and January 28, 2022</w:t>
            </w:r>
          </w:p>
        </w:tc>
        <w:tc>
          <w:tcPr>
            <w:tcW w:w="740" w:type="dxa"/>
            <w:vAlign w:val="bottom"/>
            <w:gridSpan w:val="2"/>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90"/>
        </w:trPr>
        <w:tc>
          <w:tcPr>
            <w:tcW w:w="10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at February 2, 2024 and January 27, 2023</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3160" w:type="dxa"/>
            <w:vAlign w:val="bottom"/>
            <w:tcBorders>
              <w:left w:val="single" w:sz="8" w:color="0000EE"/>
            </w:tcBorders>
            <w:gridSpan w:val="2"/>
            <w:shd w:val="clear" w:color="auto" w:fill="0000FF"/>
          </w:tcPr>
          <w:p>
            <w:pPr>
              <w:spacing w:after="0" w:line="20" w:lineRule="exact"/>
              <w:rPr>
                <w:sz w:val="1"/>
                <w:szCs w:val="1"/>
                <w:color w:val="auto"/>
              </w:rPr>
            </w:pPr>
          </w:p>
        </w:tc>
        <w:tc>
          <w:tcPr>
            <w:tcW w:w="2000" w:type="dxa"/>
            <w:vAlign w:val="bottom"/>
            <w:tcBorders>
              <w:right w:val="single" w:sz="8" w:color="0000EE"/>
            </w:tcBorders>
            <w:gridSpan w:val="3"/>
            <w:shd w:val="clear" w:color="auto" w:fill="0000FF"/>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87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Fiscal Years Ended February 2, 2024, January 27, 2023 and January 28, 2022</w:t>
            </w:r>
          </w:p>
        </w:tc>
        <w:tc>
          <w:tcPr>
            <w:tcW w:w="20" w:type="dxa"/>
            <w:vAlign w:val="bottom"/>
            <w:tcBorders>
              <w:bottom w:val="single" w:sz="8" w:color="0000EE"/>
            </w:tcBorders>
          </w:tcPr>
          <w:p>
            <w:pPr>
              <w:spacing w:after="0"/>
              <w:rPr>
                <w:sz w:val="24"/>
                <w:szCs w:val="24"/>
                <w:color w:val="auto"/>
              </w:rPr>
            </w:pPr>
          </w:p>
        </w:tc>
        <w:tc>
          <w:tcPr>
            <w:tcW w:w="1840" w:type="dxa"/>
            <w:vAlign w:val="bottom"/>
            <w:gridSpan w:val="3"/>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90"/>
        </w:trPr>
        <w:tc>
          <w:tcPr>
            <w:tcW w:w="10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Fiscal Years Ended February 2, 2024, January 27, 2023 and January 28, 2022</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91"/>
        </w:trPr>
        <w:tc>
          <w:tcPr>
            <w:tcW w:w="1028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682"/>
        </w:trPr>
        <w:tc>
          <w:tcPr>
            <w:tcW w:w="3160" w:type="dxa"/>
            <w:vAlign w:val="bottom"/>
            <w:tcBorders>
              <w:top w:val="single" w:sz="8" w:color="0000FF"/>
            </w:tcBorders>
            <w:gridSpan w:val="2"/>
          </w:tcPr>
          <w:p>
            <w:pPr>
              <w:spacing w:after="0"/>
              <w:rPr>
                <w:sz w:val="24"/>
                <w:szCs w:val="24"/>
                <w:color w:val="auto"/>
              </w:rPr>
            </w:pPr>
          </w:p>
        </w:tc>
        <w:tc>
          <w:tcPr>
            <w:tcW w:w="5540" w:type="dxa"/>
            <w:vAlign w:val="bottom"/>
            <w:gridSpan w:val="4"/>
          </w:tcPr>
          <w:p>
            <w:pPr>
              <w:jc w:val="right"/>
              <w:ind w:right="298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 End,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Dodgeville, Wisconsin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Lands’ End, Inc. (the “Company”) as of February 2, 2024 and January 27, 2023, the related consolidated statements of operations, comprehensive operations, changes in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February 2, 2024 and January 27, 2023, and the results of its operations and its cash flows for each of the years then ended, in conformity with accounting principles generally accepted in the United States of America.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February 2, 2024, based on criteria established in Internal Control – Integrated Framework (2013) issued by the Committee of Sponsoring Organizations of the Treadway Commission (“COSO”) and our report dated April 3, 2024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 Valuation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Notes 2 and 10 of the consolidated financial statements, the Company’s intangible assets consist of goodwill and an indefinite-lived trade name with carrying values of $0 and $257 million as of February 2, 2024, respectively. The Company tests goodwill and the trade name separately for impairment on an annual basis during the fourth fiscal quarter, or more frequently as required by Accounting Standards Codification Topic 350.</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fiscal quarter, the Company identified a triggering event that necessitated an interim test of impairment for goodwill within the U.S. eCommerce and Outfitters reporting units and the trade name. The impairment test resulted in full impairment of $70.4 million and $36.3 million of goodwill allocated to the Company’s U.S. eCommerce and Outfitters reporting units, respectively, and no impairment of the trade name.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comparison of the fair values of the reporting units to their respective carrying values. The Company estimates fair value of its reporting units using a discounted cash flow model, commonly referred to as the income approach, that requires management to make significant estimates and assumptions related to the weighted average cost of capital and forecasted revenue growth rates.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evaluation of the trade name for impairment involves comparison of the fair value of the trade name to its carrying value. The Company estimates fair value of the trade name using the relief from royalty method, that requires management to make significant estimates and assumptions related to the weighted average cost of capital, royalty rate and forecasted revenue growth rates.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valuation of goodwill and the trade name as a critical audit matter. The principal consideration for our determination is the significant management judgment related to: (a) the weighted average cost of capital and forecasted revenue growth rate assumptions involved in estimating the fair value of the U.S. eCommerce and Outfitters reporting units, and (b) the weighted average cost of capital, royalty rate and forecasted revenue growth rate assumptions involved in estimating the fair value of the trade name. Auditing these elements involved subjective and complex auditor judgement, including the use of professionals with specialized skills and knowledge in valuation.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implementation, and operating effectiveness of certain internal controls related to the valuation of goodwill and the indefinite-lived trade name intangible asset, specifically, the controls over the forecasted revenue growth rates, weighted average cost of capital and royalty rate.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forecasted revenue growth rates by: (a) comparing current and historical performance to prior period projections, (b) reviewing prior period actual financial results and forecasted external market and industry data, and (c) comparing forecasted information with previously communicated press releases, internal communications to management, and communications with the Board of Directors.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skills and knowledge to assist in: (a) assessing the appropriateness of the valuation methodologies, and</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evaluating the reasonableness of the valuation assumptions related to the weighted average cost of capital and royalty rate.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Wisconsin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right="50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Lands’ End, Inc.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operations, cash flows, and changes in stockholders’ equity of Lands’ End, Inc. and subsidiaries (the “Company”) for the year ended January 28, 2022, and the related notes (collectively referred to as the “financial statements”).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results of its operations and its cash flows for the year ended January 28, 2022, in conformity with accounting principles generally accepted in the United States of America.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2012. In 2022 we became the predecessor auditor.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Fiscal Years Ended February 2, 2024, January 27, 2023 and January 28, 2022</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1,472,508</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1,555,429</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1,636,624</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846,981</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961,663</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945,164</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625,527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593,766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691,460</w:t>
            </w:r>
          </w:p>
        </w:tc>
        <w:tc>
          <w:tcPr>
            <w:tcW w:w="0" w:type="dxa"/>
            <w:vAlign w:val="bottom"/>
          </w:tcPr>
          <w:p>
            <w:pPr>
              <w:spacing w:after="0"/>
              <w:rPr>
                <w:sz w:val="1"/>
                <w:szCs w:val="1"/>
                <w:color w:val="auto"/>
              </w:rPr>
            </w:pPr>
          </w:p>
        </w:tc>
      </w:tr>
      <w:tr>
        <w:trPr>
          <w:trHeight w:val="48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20" w:type="dxa"/>
            <w:vAlign w:val="bottom"/>
          </w:tcPr>
          <w:p>
            <w:pPr>
              <w:spacing w:after="0"/>
              <w:rPr>
                <w:sz w:val="24"/>
                <w:szCs w:val="24"/>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550,211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527,374</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571,767</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38,465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38,741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39,166</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106,700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7,666</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2,926</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703,042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569,041</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611,674</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(77,515 )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24,725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79,786</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48,291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39,768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34,445</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6,666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(131,817 )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45,969</w:t>
            </w:r>
          </w:p>
        </w:tc>
        <w:tc>
          <w:tcPr>
            <w:tcW w:w="0" w:type="dxa"/>
            <w:vAlign w:val="bottom"/>
          </w:tcPr>
          <w:p>
            <w:pPr>
              <w:spacing w:after="0"/>
              <w:rPr>
                <w:sz w:val="1"/>
                <w:szCs w:val="1"/>
                <w:color w:val="auto"/>
              </w:rPr>
            </w:pPr>
          </w:p>
        </w:tc>
      </w:tr>
      <w:tr>
        <w:trPr>
          <w:trHeight w:val="24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33,369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 PER COMMON SHARE</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ATTRIBUTABLE TO STOCKHOLDERS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6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600" w:type="dxa"/>
            <w:vAlign w:val="bottom"/>
            <w:vMerge w:val="continue"/>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tcPr>
          <w:p>
            <w:pPr>
              <w:spacing w:after="0"/>
              <w:rPr>
                <w:sz w:val="24"/>
                <w:szCs w:val="24"/>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31,970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33,108</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32,929</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31,970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33,108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33,681</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Fiscal Years Ended February 2, 2024, January 27, 2023 and January 28, 2022</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33,369</w:t>
            </w:r>
          </w:p>
        </w:tc>
      </w:t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2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(1,421 )</w:t>
            </w:r>
          </w:p>
        </w:tc>
      </w:tr>
      <w:tr>
        <w:trPr>
          <w:trHeight w:val="257"/>
        </w:trPr>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of foreign currency translation gain to income</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(129,731 )</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(16,910 )</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31,948</w:t>
            </w: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25,314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39,557</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1,976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35,295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44,928</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301,724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425,513</w:t>
            </w:r>
          </w:p>
        </w:tc>
        <w:tc>
          <w:tcPr>
            <w:tcW w:w="0" w:type="dxa"/>
            <w:vAlign w:val="bottom"/>
          </w:tcPr>
          <w:p>
            <w:pPr>
              <w:spacing w:after="0"/>
              <w:rPr>
                <w:sz w:val="1"/>
                <w:szCs w:val="1"/>
                <w:color w:val="auto"/>
              </w:rPr>
            </w:pPr>
          </w:p>
        </w:tc>
      </w:tr>
      <w:tr>
        <w:trPr>
          <w:trHeight w:val="250"/>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45,951</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34"/>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410,260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556,726</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118,033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127,638</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23,438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30,325</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106,700</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257,000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257,000</w:t>
            </w:r>
          </w:p>
        </w:tc>
        <w:tc>
          <w:tcPr>
            <w:tcW w:w="0" w:type="dxa"/>
            <w:vAlign w:val="bottom"/>
          </w:tcPr>
          <w:p>
            <w:pPr>
              <w:spacing w:after="0"/>
              <w:rPr>
                <w:sz w:val="1"/>
                <w:szCs w:val="1"/>
                <w:color w:val="auto"/>
              </w:rPr>
            </w:pPr>
          </w:p>
        </w:tc>
      </w:tr>
      <w:tr>
        <w:trPr>
          <w:trHeight w:val="25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2,748</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36"/>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811,479</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1,082,148</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13,750</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131,922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171,557</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6,024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50"/>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108,972</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106,756</w:t>
            </w:r>
          </w:p>
        </w:tc>
        <w:tc>
          <w:tcPr>
            <w:tcW w:w="0" w:type="dxa"/>
            <w:vAlign w:val="bottom"/>
          </w:tcPr>
          <w:p>
            <w:pPr>
              <w:spacing w:after="0"/>
              <w:rPr>
                <w:sz w:val="1"/>
                <w:szCs w:val="1"/>
                <w:color w:val="auto"/>
              </w:rPr>
            </w:pPr>
          </w:p>
        </w:tc>
      </w:tr>
      <w:tr>
        <w:trPr>
          <w:trHeight w:val="234"/>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259,918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297,477</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on ABL Facility</w:t>
            </w:r>
          </w:p>
        </w:tc>
        <w:tc>
          <w:tcPr>
            <w:tcW w:w="18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236,170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223,506</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long-term</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22,952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31,095</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48,020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45,953</w:t>
            </w:r>
          </w:p>
        </w:tc>
        <w:tc>
          <w:tcPr>
            <w:tcW w:w="0" w:type="dxa"/>
            <w:vAlign w:val="bottom"/>
          </w:tcPr>
          <w:p>
            <w:pPr>
              <w:spacing w:after="0"/>
              <w:rPr>
                <w:sz w:val="1"/>
                <w:szCs w:val="1"/>
                <w:color w:val="auto"/>
              </w:rPr>
            </w:pPr>
          </w:p>
        </w:tc>
      </w:tr>
      <w:tr>
        <w:trPr>
          <w:trHeight w:val="25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2,826</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37"/>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569,886</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701,396</w:t>
            </w:r>
          </w:p>
        </w:tc>
        <w:tc>
          <w:tcPr>
            <w:tcW w:w="0" w:type="dxa"/>
            <w:vAlign w:val="bottom"/>
          </w:tcPr>
          <w:p>
            <w:pPr>
              <w:spacing w:after="0"/>
              <w:rPr>
                <w:sz w:val="1"/>
                <w:szCs w:val="1"/>
                <w:color w:val="auto"/>
              </w:rPr>
            </w:pPr>
          </w:p>
        </w:tc>
      </w:tr>
      <w:tr>
        <w:trPr>
          <w:trHeight w:val="214"/>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par value $0.01 - authorized: 480,000 shares; issued</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and outstanding: 31,433 and 32,626, respectively</w:t>
            </w:r>
          </w:p>
        </w:tc>
        <w:tc>
          <w:tcPr>
            <w:tcW w:w="18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rPr>
              <w:t>315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29"/>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rPr>
              <w:t>356,764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366,181</w:t>
            </w:r>
          </w:p>
        </w:tc>
        <w:tc>
          <w:tcPr>
            <w:tcW w:w="0" w:type="dxa"/>
            <w:vAlign w:val="bottom"/>
          </w:tcPr>
          <w:p>
            <w:pPr>
              <w:spacing w:after="0"/>
              <w:rPr>
                <w:sz w:val="1"/>
                <w:szCs w:val="1"/>
                <w:color w:val="auto"/>
              </w:rPr>
            </w:pPr>
          </w:p>
        </w:tc>
      </w:tr>
      <w:tr>
        <w:trPr>
          <w:trHeight w:val="230"/>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deficit) Retained earnings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(99,417 )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31,267</w:t>
            </w:r>
          </w:p>
        </w:tc>
        <w:tc>
          <w:tcPr>
            <w:tcW w:w="0" w:type="dxa"/>
            <w:vAlign w:val="bottom"/>
          </w:tcPr>
          <w:p>
            <w:pPr>
              <w:spacing w:after="0"/>
              <w:rPr>
                <w:sz w:val="1"/>
                <w:szCs w:val="1"/>
                <w:color w:val="auto"/>
              </w:rPr>
            </w:pPr>
          </w:p>
        </w:tc>
      </w:tr>
      <w:tr>
        <w:trPr>
          <w:trHeight w:val="238"/>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(16,069 )</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(17,022 )</w:t>
            </w:r>
          </w:p>
        </w:tc>
        <w:tc>
          <w:tcPr>
            <w:tcW w:w="0" w:type="dxa"/>
            <w:vAlign w:val="bottom"/>
          </w:tcPr>
          <w:p>
            <w:pPr>
              <w:spacing w:after="0"/>
              <w:rPr>
                <w:sz w:val="1"/>
                <w:szCs w:val="1"/>
                <w:color w:val="auto"/>
              </w:rPr>
            </w:pPr>
          </w:p>
        </w:tc>
      </w:tr>
      <w:tr>
        <w:trPr>
          <w:trHeight w:val="223"/>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7"/>
                <w:szCs w:val="17"/>
                <w:color w:val="auto"/>
              </w:rPr>
              <w:t>241,593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380,752</w:t>
            </w:r>
          </w:p>
        </w:tc>
        <w:tc>
          <w:tcPr>
            <w:tcW w:w="0" w:type="dxa"/>
            <w:vAlign w:val="bottom"/>
          </w:tcPr>
          <w:p>
            <w:pPr>
              <w:spacing w:after="0"/>
              <w:rPr>
                <w:sz w:val="1"/>
                <w:szCs w:val="1"/>
                <w:color w:val="auto"/>
              </w:rPr>
            </w:pPr>
          </w:p>
        </w:tc>
      </w:tr>
      <w:tr>
        <w:trPr>
          <w:trHeight w:val="239"/>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811,479</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1,082,148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Fiscal Years Ended February 2, 2024, January 27, 2023 and January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151765</wp:posOffset>
            </wp:positionV>
            <wp:extent cx="29317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33,369</w:t>
            </w:r>
          </w:p>
        </w:tc>
        <w:tc>
          <w:tcPr>
            <w:tcW w:w="0" w:type="dxa"/>
            <w:vAlign w:val="bottom"/>
          </w:tcPr>
          <w:p>
            <w:pPr>
              <w:spacing w:after="0"/>
              <w:rPr>
                <w:sz w:val="1"/>
                <w:szCs w:val="1"/>
                <w:color w:val="auto"/>
              </w:rPr>
            </w:pPr>
          </w:p>
        </w:tc>
      </w:tr>
      <w:tr>
        <w:trPr>
          <w:trHeight w:val="22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(used in) operating</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38,465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38,741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39,166</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2,716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3,827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3,753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10,156</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long-lived asset impairment</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106,700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6,666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23"/>
                <w:szCs w:val="23"/>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9,861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4,503</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(13,170 )</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124,459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(45,873 )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(4,213 )</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(33,047 )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19,938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4,080</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1,478</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(40,060 )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(14,400 )</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130,565</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(36,367 )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70,569</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32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1,967</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(34,916 )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(31,806 )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(25,238 )</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(34,909 )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(29,839 )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(25,238 )</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 under ABL Facility</w:t>
            </w:r>
          </w:p>
        </w:tc>
        <w:tc>
          <w:tcPr>
            <w:tcW w:w="32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172,000</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264,000</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143,000</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borrowings under ABL Facility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(272,000 )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(168,000 )</w:t>
            </w:r>
          </w:p>
        </w:tc>
        <w:tc>
          <w:tcPr>
            <w:tcW w:w="0" w:type="dxa"/>
            <w:vAlign w:val="bottom"/>
          </w:tcPr>
          <w:p>
            <w:pPr>
              <w:spacing w:after="0"/>
              <w:rPr>
                <w:sz w:val="1"/>
                <w:szCs w:val="1"/>
                <w:color w:val="auto"/>
              </w:rPr>
            </w:pPr>
          </w:p>
        </w:tc>
      </w:tr>
      <w:tr>
        <w:trPr>
          <w:trHeight w:val="25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on long-term debt, net of discount</w:t>
            </w:r>
          </w:p>
        </w:tc>
        <w:tc>
          <w:tcPr>
            <w:tcW w:w="32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252,200</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term loan</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(244,063 )</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(13,750 )</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(13,750 )</w:t>
            </w:r>
          </w:p>
        </w:tc>
        <w:tc>
          <w:tcPr>
            <w:tcW w:w="0" w:type="dxa"/>
            <w:vAlign w:val="bottom"/>
          </w:tcPr>
          <w:p>
            <w:pPr>
              <w:spacing w:after="0"/>
              <w:rPr>
                <w:sz w:val="1"/>
                <w:szCs w:val="1"/>
                <w:color w:val="auto"/>
              </w:rPr>
            </w:pPr>
          </w:p>
        </w:tc>
      </w:tr>
      <w:tr>
        <w:trPr>
          <w:trHeight w:val="25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debt extinguishment costs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(2,338 )</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(2,735 )</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(1,232 )</w:t>
            </w:r>
          </w:p>
        </w:tc>
        <w:tc>
          <w:tcPr>
            <w:tcW w:w="0" w:type="dxa"/>
            <w:vAlign w:val="bottom"/>
          </w:tcPr>
          <w:p>
            <w:pPr>
              <w:spacing w:after="0"/>
              <w:rPr>
                <w:sz w:val="1"/>
                <w:szCs w:val="1"/>
                <w:color w:val="auto"/>
              </w:rPr>
            </w:pPr>
          </w:p>
        </w:tc>
      </w:tr>
      <w:tr>
        <w:trPr>
          <w:trHeight w:val="25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(5,111 )</w:t>
            </w:r>
          </w:p>
        </w:tc>
        <w:tc>
          <w:tcPr>
            <w:tcW w:w="0" w:type="dxa"/>
            <w:vAlign w:val="bottom"/>
          </w:tcPr>
          <w:p>
            <w:pPr>
              <w:spacing w:after="0"/>
              <w:rPr>
                <w:sz w:val="1"/>
                <w:szCs w:val="1"/>
                <w:color w:val="auto"/>
              </w:rPr>
            </w:pPr>
          </w:p>
        </w:tc>
      </w:tr>
      <w:tr>
        <w:trPr>
          <w:trHeight w:val="26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(11,902 )</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(8,463 )</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(110,107 )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73,463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(45,093 )</w:t>
            </w:r>
          </w:p>
        </w:tc>
        <w:tc>
          <w:tcPr>
            <w:tcW w:w="0" w:type="dxa"/>
            <w:vAlign w:val="bottom"/>
          </w:tcPr>
          <w:p>
            <w:pPr>
              <w:spacing w:after="0"/>
              <w:rPr>
                <w:sz w:val="1"/>
                <w:szCs w:val="1"/>
                <w:color w:val="auto"/>
              </w:rPr>
            </w:pPr>
          </w:p>
        </w:tc>
      </w:tr>
      <w:tr>
        <w:trPr>
          <w:trHeight w:val="21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w:t>
            </w:r>
          </w:p>
        </w:tc>
        <w:tc>
          <w:tcPr>
            <w:tcW w:w="320" w:type="dxa"/>
            <w:vAlign w:val="bottom"/>
          </w:tcPr>
          <w:p>
            <w:pPr>
              <w:spacing w:after="0"/>
              <w:rPr>
                <w:sz w:val="18"/>
                <w:szCs w:val="18"/>
                <w:color w:val="auto"/>
              </w:rPr>
            </w:pPr>
          </w:p>
        </w:tc>
        <w:tc>
          <w:tcPr>
            <w:tcW w:w="11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(2,001 )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6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(DECREASE) INCREASE IN CASH, CASH</w:t>
            </w:r>
          </w:p>
        </w:tc>
        <w:tc>
          <w:tcPr>
            <w:tcW w:w="3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(14,101 )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5,256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8"/>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EQUIVALENTS AND RESTRICTED CASH</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6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tcPr>
          <w:p>
            <w:pPr>
              <w:spacing w:after="0"/>
              <w:rPr>
                <w:sz w:val="17"/>
                <w:szCs w:val="17"/>
                <w:color w:val="auto"/>
              </w:rPr>
            </w:pPr>
          </w:p>
        </w:tc>
        <w:tc>
          <w:tcPr>
            <w:tcW w:w="11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41,391</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36,135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35,794</w:t>
            </w:r>
          </w:p>
        </w:tc>
        <w:tc>
          <w:tcPr>
            <w:tcW w:w="0" w:type="dxa"/>
            <w:vAlign w:val="bottom"/>
          </w:tcPr>
          <w:p>
            <w:pPr>
              <w:spacing w:after="0"/>
              <w:rPr>
                <w:sz w:val="1"/>
                <w:szCs w:val="1"/>
                <w:color w:val="auto"/>
              </w:rPr>
            </w:pPr>
          </w:p>
        </w:tc>
      </w:tr>
      <w:tr>
        <w:trPr>
          <w:trHeight w:val="238"/>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6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27,290</w:t>
            </w: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41,391</w:t>
            </w: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36,135</w:t>
            </w:r>
          </w:p>
        </w:tc>
        <w:tc>
          <w:tcPr>
            <w:tcW w:w="0" w:type="dxa"/>
            <w:vAlign w:val="bottom"/>
          </w:tcPr>
          <w:p>
            <w:pPr>
              <w:spacing w:after="0"/>
              <w:rPr>
                <w:sz w:val="1"/>
                <w:szCs w:val="1"/>
                <w:color w:val="auto"/>
              </w:rPr>
            </w:pPr>
          </w:p>
        </w:tc>
      </w:tr>
      <w:tr>
        <w:trPr>
          <w:trHeight w:val="211"/>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3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3,853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9,998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1,108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4,763</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24,868</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48,099</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34,485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31,421</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2120" w:type="dxa"/>
            <w:vAlign w:val="bottom"/>
            <w:gridSpan w:val="3"/>
            <w:vMerge w:val="restart"/>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Common Stock Issued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5"/>
                <w:szCs w:val="15"/>
                <w:color w:val="auto"/>
              </w:rPr>
            </w:pPr>
          </w:p>
        </w:tc>
        <w:tc>
          <w:tcPr>
            <w:tcW w:w="1160" w:type="dxa"/>
            <w:vAlign w:val="bottom"/>
            <w:gridSpan w:val="2"/>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29, 2021</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32,614</w:t>
            </w:r>
          </w:p>
        </w:tc>
        <w:tc>
          <w:tcPr>
            <w:tcW w:w="120" w:type="dxa"/>
            <w:vAlign w:val="bottom"/>
          </w:tcPr>
          <w:p>
            <w:pPr>
              <w:spacing w:after="0"/>
              <w:rPr>
                <w:sz w:val="19"/>
                <w:szCs w:val="19"/>
                <w:color w:val="auto"/>
              </w:rPr>
            </w:pPr>
          </w:p>
        </w:tc>
        <w:tc>
          <w:tcPr>
            <w:tcW w:w="76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369,372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369,703</w:t>
            </w: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33,369</w:t>
            </w:r>
          </w:p>
        </w:tc>
        <w:tc>
          <w:tcPr>
            <w:tcW w:w="0" w:type="dxa"/>
            <w:vAlign w:val="bottom"/>
          </w:tcPr>
          <w:p>
            <w:pPr>
              <w:spacing w:after="0"/>
              <w:rPr>
                <w:sz w:val="1"/>
                <w:szCs w:val="1"/>
                <w:color w:val="auto"/>
              </w:rPr>
            </w:pPr>
          </w:p>
        </w:tc>
      </w:tr>
      <w:tr>
        <w:trPr>
          <w:trHeight w:val="22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10,156</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(5,111 )</w:t>
            </w:r>
          </w:p>
        </w:tc>
        <w:tc>
          <w:tcPr>
            <w:tcW w:w="0" w:type="dxa"/>
            <w:vAlign w:val="bottom"/>
          </w:tcPr>
          <w:p>
            <w:pPr>
              <w:spacing w:after="0"/>
              <w:rPr>
                <w:sz w:val="1"/>
                <w:szCs w:val="1"/>
                <w:color w:val="auto"/>
              </w:rPr>
            </w:pPr>
          </w:p>
        </w:tc>
      </w:tr>
      <w:tr>
        <w:trPr>
          <w:trHeight w:val="222"/>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2022</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32,985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374,413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406,696</w:t>
            </w: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0" w:type="dxa"/>
            <w:vAlign w:val="bottom"/>
          </w:tcPr>
          <w:p>
            <w:pPr>
              <w:spacing w:after="0"/>
              <w:rPr>
                <w:sz w:val="1"/>
                <w:szCs w:val="1"/>
                <w:color w:val="auto"/>
              </w:rPr>
            </w:pPr>
          </w:p>
        </w:tc>
      </w:tr>
      <w:tr>
        <w:trPr>
          <w:trHeight w:val="22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0" w:type="dxa"/>
            <w:vAlign w:val="bottom"/>
          </w:tcPr>
          <w:p>
            <w:pPr>
              <w:spacing w:after="0"/>
              <w:rPr>
                <w:sz w:val="1"/>
                <w:szCs w:val="1"/>
                <w:color w:val="auto"/>
              </w:rPr>
            </w:pPr>
          </w:p>
        </w:tc>
      </w:tr>
      <w:tr>
        <w:trPr>
          <w:trHeight w:val="224"/>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retirement of common stock</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1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(8,463 )</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27, 2023</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32,626</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366,181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31,267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380,752</w:t>
            </w: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0" w:type="dxa"/>
            <w:vAlign w:val="bottom"/>
          </w:tcPr>
          <w:p>
            <w:pPr>
              <w:spacing w:after="0"/>
              <w:rPr>
                <w:sz w:val="1"/>
                <w:szCs w:val="1"/>
                <w:color w:val="auto"/>
              </w:rPr>
            </w:pPr>
          </w:p>
        </w:tc>
      </w:tr>
      <w:tr>
        <w:trPr>
          <w:trHeight w:val="22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0" w:type="dxa"/>
            <w:vAlign w:val="bottom"/>
          </w:tcPr>
          <w:p>
            <w:pPr>
              <w:spacing w:after="0"/>
              <w:rPr>
                <w:sz w:val="1"/>
                <w:szCs w:val="1"/>
                <w:color w:val="auto"/>
              </w:rPr>
            </w:pPr>
          </w:p>
        </w:tc>
      </w:tr>
      <w:tr>
        <w:trPr>
          <w:trHeight w:val="224"/>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retirement of common stock</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(1,487 )</w:t>
            </w:r>
          </w:p>
        </w:tc>
        <w:tc>
          <w:tcPr>
            <w:tcW w:w="1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(11,986 )</w:t>
            </w:r>
          </w:p>
        </w:tc>
        <w:tc>
          <w:tcPr>
            <w:tcW w:w="0" w:type="dxa"/>
            <w:vAlign w:val="bottom"/>
          </w:tcPr>
          <w:p>
            <w:pPr>
              <w:spacing w:after="0"/>
              <w:rPr>
                <w:sz w:val="1"/>
                <w:szCs w:val="1"/>
                <w:color w:val="auto"/>
              </w:rPr>
            </w:pPr>
          </w:p>
        </w:tc>
      </w:tr>
      <w:tr>
        <w:trPr>
          <w:trHeight w:val="239"/>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February 2, 2024</w:t>
            </w: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31,433</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315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356,764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(99,417 )</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(16,069 )</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241,593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1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Lands’ End, Inc. (“Lands’ End” or the “Company”) is a leading digital retailer of solution-based apparel, swimwear, outerwear, accessories, footwear, home products and uniforms. We offer products online at www.landsend.com, through third-party distribution channels and our own Company Operated stores. We also offer products to businesses and schools, for their employees and students, through the Outfitters distribution channel.</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Terms that are commonly used in the Company’s Notes to the Consolidated Financial Statements are defined as follows:</w:t>
      </w:r>
    </w:p>
    <w:p>
      <w:pPr>
        <w:spacing w:after="0" w:line="117" w:lineRule="exact"/>
        <w:rPr>
          <w:sz w:val="20"/>
          <w:szCs w:val="20"/>
          <w:color w:val="auto"/>
        </w:rPr>
      </w:pPr>
    </w:p>
    <w:p>
      <w:pPr>
        <w:ind w:left="1000" w:hanging="493"/>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ABL Facility – Asset-based senior secured credit agreement, providing for a revolving facility, dated as of November 16, 2017, with Wells Fargo Bank, N.A. and certain other lenders, as amended to date</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 – Net income (loss) appearing on the Consolidated Statements of Operations net of Income tax expense/(benefit), Interest expense, Depreciation and amortization and other significant items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ASC – Financial Accounting Standards Board Accounting Standards Codification, which serves as the source for authoritative GAAP, as supplemented by rules and interpretive releases by the SEC which are also sources of authoritative GAAP for SEC registrants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Operated stores – Lands’ End retail stores in the Retail distribution channel</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Term Loan Facility – Term loan credit agreement, dated as of December 29, 2023, among the Company, Blue Torch Capital, as Administrative Agent and Collateral Agent, and the lenders party thereto</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Facilities – Collectively, the Current Term Loan Facility and ABL Facility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Awards – Time vesting stock awards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EPS – Earnings per share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FASB – Financial Accounting Standards Board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2024 – The 13 weeks ending May 3,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2024 – The 52 weeks ending January 31, 2025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2023 – The 53 weeks ended February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2022 – The 52 weeks ended January 27, 2023</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2021 – The 52 weeks ended January 28, 2022</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Former Term Loan Facility – Term loan credit agreement, dated as of September 9, 2020, among the Company, Fortress Credit Corp., as Administrative Agent and Collateral Agent, and the lenders party thereto</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2023 – The 14 weeks ended February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GAAP – Accounting principles generally accepted in the United States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LIBOR – London inter-bank offered rate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Awards – Stock option awards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 – Performance-based stock awards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 – United States Securities and Exchange Commission</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2023 – The 13 weeks ended July 28, 2023</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2022 – The 13 weeks ended July 29, 2022</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SOFR – Secured Overnight Funding Rate</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Adjusted SOFR – SOFR plus adjustments of either (a) 0.11448% for a one-month interest period, (b) 0.26161% for a three-month interest period, or (c) 0.42826% for a six-month interest period</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Shares – Number of restricted stock units awarded to a recipient which reflects the number of shares to be delivered based on achievement of target performance goals</w:t>
      </w:r>
    </w:p>
    <w:p>
      <w:pPr>
        <w:spacing w:after="0" w:line="50"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Quarter 2023 – The 13 weeks ended October 27,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Lands’ End, Inc. and its subsidiaries. All intercompany transactions and balances have been eliminated.</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In the opinion of management, all material adjustments are of a normal and recurring nature necessary for a fair presentation of the results have been reflected for the periods presented. Dollar amounts are reported in thousands, except per share data, unless otherwise noted.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Macroeconomic issues, such as high interest rates and inflationary pressures, have continued to have an impact on the Company’s business. Since apparel purchases are discretionary expenditures that historically have been influenced by domestic and global economic conditions, higher prices of consumer goods due to inflation may result in less discretionary spending for consumers which may negatively impact customer demand and require higher levels of promotion in order to attract and retain customers. Additionally, interest expense could be negatively affected by any continued rate increases due to the variable interest rates associated with the Company’s Debt Facilities. These macroeconomic challenges have led to increased cost of raw materials, packaging materials, labor, energy, fuel and other inputs necessary for the production and distribution of the Company’s products.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Challenges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Like many industries, we experienced global supply chain challenges that impacted our distribution process, third-party manufacturing partners and logistics partners, including shipping delays due to port congestion and closure of certain third-party manufacturing facilities and production lines. These global supply chain challenges caused manufacturing, transport and receipt of inbound product delays that increased our logistics costs during the first half of Fiscal 2022. These global supply chain challenges began to normalize in the second half of Fiscal 2022 and throughout Fiscal 2023.</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Corporate Restructuring</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Company reduced approximately 10% of positions in the corporate offices and the Hong Kong sourcing office during Fiscal 2023. The Company incurred $7.3 million of total corporate restructuring costs, which includes $6.2 million of employee severance and benefit costs and $1.1 million of other related costs, which was recorded in Other operating expense, net in the Consolidated Statements of Operations. As of February 2, 2024, approximately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$2.9 million of the employee severance and benefit costs and $1.1 million of the other related costs had yet to be paid and are included in Accrued expenses and other current liabilities in the Consolidated Balance Sheets.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Lands’ End Japan Closure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During Second Quarter 2022, the Board of Directors approved a plan to wind down and cease operations of Lands’ End Japan KK. Lands’ End Japan KK represents the Japan eCommerce operating segment. For a discussion on this operating segment,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The Company incurred closing costs of approximately $0.3 million and $3.0 million during Fiscal 2023 and Fiscal 2022, respectively, recorded in Other operating expense, net in the Consolidated Statements of Operations.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 The final liquidation occurred in First Quarter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Company’s fiscal year end is on the Friday preceding the Saturday closest to January 31 each year. The fiscal periods in this report are presented as follows, unless the context otherwise requires:</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2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Weeks</w:t>
            </w:r>
          </w:p>
        </w:tc>
      </w:tr>
      <w:tr>
        <w:trPr>
          <w:trHeight w:val="228"/>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2024</w:t>
            </w:r>
          </w:p>
        </w:tc>
        <w:tc>
          <w:tcPr>
            <w:tcW w:w="4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38"/>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2023</w:t>
            </w:r>
          </w:p>
        </w:tc>
        <w:tc>
          <w:tcPr>
            <w:tcW w:w="3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52</w:t>
            </w:r>
          </w:p>
        </w:tc>
      </w:tr>
      <w:tr>
        <w:trPr>
          <w:trHeight w:val="243"/>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1"/>
                <w:szCs w:val="21"/>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28, 2022</w:t>
            </w:r>
          </w:p>
        </w:tc>
        <w:tc>
          <w:tcPr>
            <w:tcW w:w="3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52</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Company’s operations have historically been seasonal, with a disproportionate amount of net revenue occurring in the fourth fiscal quarter, reflecting increased customer demand during the year-end holiday selling season. The impact of seasonality on results of operations is more pronounced since the level of certain fixed costs, such as occupancy and overhead expenses, do not vary with sales. The Company’s results of operations also may fluctuate based upon such factors as the timing of certain holiday season dates and promotions, the amount of net revenue contributed by new and existing stores, the timing and level of markdowns, competitive factors, weather and general economic conditions.</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reportable amounts of assets and liabilities and disclosure of contingent assets and liabilities at the date of the financial statements as well as the reported amounts of revenue and expenses during the reporting period. Significant accounting estimates inherent in the preparation of the consolidated financial statements include revenue recognition, including gift card breakage and estimated merchandise returns, inventory valuation, impairment assessments for goodwill, indefinite intangible assets and long-lived assets and income taxes. Actual results could differ from those estimates made by management, which could have a material impact on the Company’s financial position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highly liquid temporary instruments purchased with original maturities of three months or less. It also includes deposits in-transit from banks for payments related to third-party credit card and debit card transactions. The Company maintains a portion of its cash in Federal Deposit Insurance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(“FDIC”) insured bank deposit accounts which, at times, may exceed federally insured limits. To date, the Company has not experienced any losses in such accounts. The Company does not believe, based on the size and strength of the banking institutions used, it is exposed to any significant credit risks in cash.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classifies cash balances pledged as collateral as Restricted cash on the Consolidated Balance Sheets.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credit losses based on historical loss experience, collection experience, delinquency trends, economic conditions and specific identification. The Accounts receivable balance on the Consolidated Balance Sheets is presented net of the Company’s allowance for credit losses and is comprised of various customer-related accounts receivable.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balance of the allowance for credit losses are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625</w:t>
            </w:r>
          </w:p>
        </w:tc>
      </w:t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0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295</w:t>
            </w:r>
          </w:p>
        </w:tc>
      </w:tr>
      <w:tr>
        <w:trPr>
          <w:trHeight w:val="25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Inventories primarily consist of merchandise purchased for resale. For financial reporting and tax purposes, the Company’s United States inventory, primarily merchandise held for sale, is stated at last-in, first-out (“LIFO”) cost, which is lower than net realizable value. The Company accounts for its non-United States inventory on the first-in, first-out (“FIFO”) method. The United States inventory accounted for using the LIFO method was 93% of total inventory as of February 2, 2024 and 92% as of January 27, 2023. If the FIFO method of accounting for inventory had been used, the effect on inventory would have been an increase of $1.5 million and $1.2 million as of February 2, 2024 and January 27, 2023, respectively.</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maintains a reserve for excess and obsolete inventory. The reserve is calculated based on historical experience related to liquidation and disposal of identified inventory. The excess and obsolescence reserve balances were $18.1 million and $13.9 million as of February 2, 2024 and January 27, 2023, respectively. The increase is primarily due to a specific reserve for the discounted sale of kids inventory to licensee and reserve for excess and obsolete kids and footwear inventory not acquired by licensees.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Catalog Costs and Marketing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Costs incurred for direct response marketing consist primarily of catalog production and mailing costs that are generally amortized within two months from the date catalogs are mailed. Unamortized marketing costs reported as prepaid assets were $10.3 million and $10.4 million as of February 2, 2024 and January 27, 2023, respectively. The Company expenses the costs of marketing for website, magazine, newspaper, radio and other general media when the marketing takes place. Marketing expenses, including catalog costs amortization, digital-related costs and other print media were $200.5 million, $205.6 million and $220.0 million for Fiscal 2023, Fiscal 2022 and Fiscal 2021, respectively. These costs are included within Selling and administrative expenses in the accompanying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Additions and substantial improvements are capitalized and include expenditures that materially extend the useful lives of existing facilities and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Maintenance and repairs that do not materially improve or extend the lives of the respective assets are expensed as incurred. As of the balance sheet dates, Property and equipment, net consisted of the following:</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 Lives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27,</w:t>
            </w: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3,440</w:t>
            </w: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101,232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99,545</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66,373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59,992</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261,764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232,799</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12,673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12,761</w:t>
            </w:r>
          </w:p>
        </w:tc>
      </w:tr>
      <w:tr>
        <w:trPr>
          <w:trHeight w:val="25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17,706</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27,235</w:t>
            </w: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463,198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435,772</w:t>
            </w: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(345,165 )</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(308,134 )</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118,033</w:t>
            </w: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127,638</w:t>
            </w:r>
          </w:p>
        </w:tc>
      </w:tr>
      <w:tr>
        <w:trPr>
          <w:trHeight w:val="20"/>
        </w:trPr>
        <w:tc>
          <w:tcPr>
            <w:tcW w:w="5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both February 2, 2024 and January 27, 2023, construction in progress relates primarily to technological investments.</w:t>
      </w:r>
    </w:p>
    <w:p>
      <w:pPr>
        <w:spacing w:after="0" w:line="11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expense is recorded over the estimated useful lives of the respective assets using the straight-line method. Leasehold improvements are depreciated over the shorter of the associated lease term or the estimated useful life of the asset. Depreciation expense was $38.5 million, $38.7 million and $39.2 million for Fiscal 2023, Fiscal 2022 and Fiscal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is a lessee under various lease agreements for its Company Operated store locations and certain international distribution and office facilities. All leases are classified as operating leases. The Company’s leases have remaining lease terms ranging from less than one year up to ten years with renewal options. The lease term is defined as the noncancelable portion of the lease term plus any periods covered by an option to extend the lease, if it is reasonably certain that the option will be exercised.</w:t>
      </w:r>
    </w:p>
    <w:p>
      <w:pPr>
        <w:spacing w:after="0" w:line="7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determination of whether an arrangement contains a lease and the classification of a lease, if applicable, is made at lease inception. Lease commencement is the date in which the lessor provides the Company access to, and the right to control, the identified asset. At lease commencement, the Company recognizes a right-of-use asset and a corresponding lease liability measured at the present value of the future minimum lease payments. Minimum lease payments include the fixed lease component of the agreement, as well as any variable rate payments that depend on an index, initially measured using the index at the lease commencement date. The right-of-use asset is recorded at the amount of the lease liability, increased for prepaid lease and initial direct costs paid and reduced by any lease incentives.</w:t>
      </w:r>
    </w:p>
    <w:p>
      <w:pPr>
        <w:spacing w:after="0" w:line="7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of not recognizing a right-of-use asset or lease liability for short-term leases, which are leases with a term of twelve months or less. Lease payments on short-term leases are expensed as incurred. The Company has lease agreements with lease and non-lease components. The Company has elected the practical expedient to combine lease and non-lease components. The Company does not have any leases with residual value guarantees or restrictions or covenants imposed by the lease.</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Due to the absence of an implicit rate in the Company’s lease agreements, the Company estimates its incremental borrowing rate at lease commencement in determining the present value of lease payments for each lease based on the lease term, lease currency and the Company’s credit spread. The yield curve selected at the lease commencement date represents one notch above the Company’s unsecured credit rating, and therefore is considered a close proxy for the incremental borrowing rate the Company would incur for secured debt.</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addition to rent payments, the lease agreements contain payments for real estate taxes, insurance, common area maintenance and utilities that are not fixed. The Company accounts for these costs as variable payments and does not include such costs as a lease component.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The Company’s leases are classified as operating leases, which are included in the Operating lease right-of-use asset, Lease liability – current and Lease liability – long-term on the Company’s Consolidated Balance Sheets. Lease expense is recognized on a straight-line basis over the lease term and is included in Selling and administrative expense in the Consolidated Statements of Operations. 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Property and Equipment</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Property and equipment are subject to a review for impairment if events or changes in circumstances indicate that the carrying amount of the asset may not be recoverable. Company Operated store long-lived assets, including right-of-use assets, are regularly reviewed for impairment indicators when the Company Operated store meets Same Store Sales status. A Company Operated store is included in U.S. Same Store Sales calculations when it has been open for at least 14 months. Impairment is assessed at the individual store level which is the lowest level of identifiable cash flows and considers the estimated undiscounted cash flows over the asset’s remaining life. If estimated undiscounted cash flows are insufficient to recover the investment, an impairment loss is recognized equal to the difference between the estimated fair value of the asset and its carrying value, net of salvage, and any costs of disposition. The fair value estimate is generally the discounted amount of estimated store-specific cash flows. During Fiscal 2023, Fiscal 2022 and Fiscal 2021, the Company recognized no impairment, $0.5 million and no impairment, respectively, for right-of-use assets and property and equipment of Company Operated store locations.</w:t>
      </w:r>
    </w:p>
    <w:p>
      <w:pPr>
        <w:spacing w:after="0" w:line="80"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the Company’s financial statements in the Third Quarter 2023 Form 10-Q, the Company tested its long-lived asset groups for impairment as of October 27, 2023. The Company assessed the recoverability of its long-lived asset groups by comparing their projected undiscounted cash flows associated over the remaining estimated useful lives of the primary asset in the long-lived asset group against their respective carrying amounts. Impairment, if any, is based on the excess of the carrying amount over the fair value of those assets. Fair value is generally determined using the asset’s expected future discounted cash flows or market value, if readily determinable. If long-lived assets are determined to be recoverable, but the newly determined remaining estimated useful lives are shorter than originally estimated, the net book values of the long-lived assets are depreciated over the newly determined remaining estimated useful lives. As a result of the testing, the undiscounted cash flows of the remaining asset groups exceeded their respective carrying amount resulting in no impairment.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 Impairment Assessments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Goodwill and the indefinite-lived trade name intangible asset are tested separately for impairment on an annual basis or whenever events or changes in circumstances indicate that the carrying amount may not be recoverable. Impairment assessments contain multiple uncertainties because the calculation requires management to make assumptions and to apply judgment to estimate future cash flows and asset fair values. If actual results fall short of our estimates and assumptions used in estimating future cash flows and asset fair values, we may incur future impairment charges that could be material.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included in the Company’s Third Quarter Form 10-Q, the Company considered the decline in the Company’s stock price and market capitalization, as well as current market and macroeconomic conditions, to be a triggering event for the U.S. eCommerce and Outfitters reporting units and therefore completed a test for impairment of goodwill for these reporting units as of October 27, 2023. The Company tested goodwill for impairment using a one-step quantitative test. The quantitative test compares the reporting unit’s fair value to its carrying value. An impairment is recorded for any excess carrying value above the reporting unit’s fair value, not to exceed the amount of goodwill. The Company estimates fair value of its reporting units using a discounted cash flow model, commonly referred to as the income approach. The income approach uses a reporting unit’s projection of estimated operating results and cash flows that is discounted using a weighted-average cost of capital that reflects current market conditions appropriate to the Company’s reporting unit. The discounted cash flow model uses management’s best estimates of economic and market conditions over the projected period using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best information available, including growth rates in revenues, costs and estimates of future expected changes in operating margins and cash expenditures. Other significant estimates and assumptions include terminal value growth rates, weighted average cost of capital and changes in future working capital requirements.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impairment test resulted in full impairment of $70.4 million and $36.3 million of goodwill allocated to the Company’s U.S. eCommerce and Outfitters reporting units, respectively.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impairment assessments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Company’s indefinite-lived intangible asset is the Lands’ End trade name. The Company reviews the trade name for impairment on an annual basis or whenever events or changes in circumstances indicate the carrying value may not be recoverable. The fair value of the trade name indefinite-lived intangible asset is estimated using the relief from royalty method. The relief from royalty method is based on the assumption that, in lieu of ownership, a firm would be willing to pay a royalty in order to exploit the related benefits of this asset class. The relief from royalty method involves two steps: (1) estimation of reasonable royalty rates for the assets and (2) the application of these royalty rates to a forecasted net revenue stream and discounting the resulting cash flows to determine a present value. The Company multiplied the selected royalty rate by the forecasted net revenue stream to calculate the cost savings (relief from royalty payment) associated with the asset. The cash flows are then discounted to present value using the selected discount rate and compared to the carrying value of the asset.</w:t>
      </w:r>
    </w:p>
    <w:p>
      <w:pPr>
        <w:spacing w:after="0" w:line="8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in the Company’s Third Quarter 2023 Form 10-Q, the Company considered the decline in the Company’s stock price and market capitalization, as well as current market and macroeconomic conditions, to be a triggering event for the Lands’ End trade name. The fair value of the trade name indefinite-lived intangible asset was estimated using the relief from royalty method and the testing resulted in no impairment to the Lands’ End trade name.</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Fiscal 2023, Fiscal 2022 and Fiscal 2021, the Company tested the indefinite-lived intangible asset, as required, resulting in the fair value exceeding the carrying value by 6.1%, 13.3% and 68.9%, respectively. As such, no trade name impairment charges were recorded in any of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Off-Balance-Sheet Risk</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$275.0 million ABL Facility includes a $70.0 million sublimit for letters of credit and the maturity date is July 29, 2026. The ABL Facility is available for working capital and other general corporate liquidity needs. There was no balance outstanding as of February 2, 2024. The balance outstanding as of January 27, 2023 was $100.0 million. The balance of outstanding letters of credit was $9.1 million and $10.6 million on February 2, 2024 and January 27,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financial instruments in accordance with accounting standards pertaining to fair value measurements. Such standards define fair value and establish a framework for measuring fair value in accordance with GAAP. Under fair value measurement accounting standards, fair value is considered to be the exchange price in an orderly transaction between market participants to sell an asset or transfer a liability at the measurement date. The Company reports or discloses the fair value of financial assets and liabilities based on the fair value hierarchy prescribed by accounting standards for fair value measurements, which prioritizes the inputs to valuation techniques used to measure fair value into three levels.</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accounts receivable. Total accounts receivable, net was $35.3 million, $44.9 million and $49.7 million as of February 2, 2024, January 27, 2023 and January 28, 2022, respectively.</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net, accounts payable, accrued expenses and other current liabilities and revolving long-term borrowings on ABL Facility are reflected in the Consolidated Balance Sheets at cost, which approximates fair value due to the short-term nature of these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 xml:space="preserve">Long-term debt, net is reflected in the Consolidated Balance Sheets at amortized cost. The fair value of debt was determined utilizing Level 3 valuation techniques as of February 2, 2024 and January 27, 2023. See Note 9, </w:t>
      </w:r>
      <w:r>
        <w:rPr>
          <w:rFonts w:ascii="Times New Roman" w:cs="Times New Roman" w:eastAsia="Times New Roman" w:hAnsi="Times New Roman"/>
          <w:sz w:val="18"/>
          <w:szCs w:val="18"/>
          <w:i w:val="1"/>
          <w:iCs w:val="1"/>
          <w:color w:val="auto"/>
        </w:rPr>
        <w:t>Fair Value of Financial Assets and Liabilities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Translations and Transactions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Company translates the assets and liabilities of foreign subsidiaries from their respective functional currencies to United States dollars at the appropriate spot rates as of the balance sheet date. Revenue and expenses of operations are translated to United States dollars using weighted average exchange rates during the year. The foreign subsidiaries use the local currency as their functional currency. The effects of foreign currency translation adjustments are included as a component of Accumulated other comprehensive loss in the accompanying Consolidated Statements of Changes in Stockholders’ Equity. Foreign currency translation gains, net, for Fiscal 2023 totaled approximately $1.0 million. Foreign currency translation losses, net, for Fiscal 2022 and Fiscal 2021 totaled approximately $4.4 million and $1.4 million, respectively. The Company recognized a foreign exchange transaction gain of $1.0 million in Fiscal 2023, a loss of $1.0 million in Fiscal 2022 and a gain of $0.8 million in Fiscal 2021. These are recorded in either Cost of sales (excluding depreciation and amortization) or Selling and administrative in the accompanying Consolidated Statements of Operations based on the underlying nature of the transactions giving rise to the gain or loss.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Revenue includes sales of merchandise and delivery revenue related to merchandise sold. Substantially all of the Company’s revenue is recognized when control of product passes to customers, which for the U.S. eCommerce, International, Outfitters and Third Party distribution channels is when the merchandise is expected to be received by the customer and for the Retail distribution channel is at the time of sale in the store. The Company recognizes revenue, including shipping and handling fees billed to customers, in the amount expected to be received when control of the Company’s products transfers to customers, and is presented net of various forms of promotions, which range from contractually-fixed percentage price reductions to sales returns, discounts, and other incentives that may vary in amount. Variable amounts are estimated based on an analysis of historical experience and adjusted as better estimates become available. The Company’s revenue is disaggregated by distribution channel and geographic location.</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 taxes assessed by governmental authorities, including value-added and other sales-related taxes, that are imposed on and concurrent with revenue-producing activities.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Contract liabilities consist of payments received in advance of the transfer of control to the customer. As products are delivered and control transfers, the Company recognizes the deferred revenue in Net revenue in the Consolidated Statements of Operations. The following table summarizes the deferred revenue associated with payments received in advance of the transfer of control to the customer reported in Accrued expenses and other current liabilities in the Consolidated Balance Sheets and amounts recognized through Net revenue for each period presented. The majority of deferred revenue as of February 2, 2024 is expected to be recognized in Net revenue in First Quarter 2024, as products are delivered to customers.</w:t>
      </w:r>
    </w:p>
    <w:p>
      <w:pPr>
        <w:spacing w:after="0" w:line="8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8,560</w:t>
            </w:r>
          </w:p>
        </w:tc>
      </w:t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recognized in period</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(8,346 )</w:t>
            </w:r>
          </w:p>
        </w:tc>
      </w:tr>
      <w:tr>
        <w:trPr>
          <w:trHeight w:val="25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in period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7,270</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4,314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7,484</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gift cards is recognized when (i) the gift card is redeemed by the customer for merchandise, or (ii) as gift card breakage, an estimate of gift cards which will not be redeemed where the Company does not have a legal obligation to remit the value of the unredeemed gift cards to the relevant jurisdictions. Gift card breakage is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recorded within Net revenue in the Consolidated Statements of Operations. Prior to their redemption, gift cards are recorded as a liability, included within Accrued expenses and other current liabilities in the Consolidated Balance Sheets. The liability is estimated based on expected breakage that considers historical patterns of redemption. The following table provides the reconciliation of the contract liability related to gift cards:</w:t>
      </w:r>
    </w:p>
    <w:p>
      <w:pPr>
        <w:spacing w:after="0" w:line="7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33,029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33,070</w:t>
            </w:r>
          </w:p>
        </w:tc>
      </w:t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2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66,392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65,877</w:t>
            </w: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(64,637 )</w:t>
            </w:r>
          </w:p>
        </w:tc>
      </w:tr>
      <w:tr>
        <w:trPr>
          <w:trHeight w:val="25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(3,443 )</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(1,281 )</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35,604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33,029</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Refund Liabilities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Refund liabilities, primarily associated with product sales returns and retrospective volume rebates, represent variable consideration and are estimated and recorded as a reduction to Net revenue based on historical experience. As of February 2, 2024 and January 27, 2023, $21.6 million and $25.0 million, respectively, of refund liabilities, primarily associated with estimated product returns, were reported in Accrued expenses and other current liabilities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Cost of sales are comprised principally of the costs of merchandise sold, inbound shipping and handling, duty, warehousing and distribution (including receiving, picking, packing, store delivery and value-added costs), customer shipping and handling costs and physical inventory losses. Depreciation and amortization are not included in the Company’s Cost of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Expenses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Selling and administrative expenses are comprised principally of payroll and benefits costs, marketing, information technology expenses, third-party services, occupancy costs of Company Operated stores and corporate facilities, and other administrative expenses. All stock-based compensation is recorded in Selling and administrative expenses. See Note 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Deferred income tax assets and liabilities are based on the estimated future tax effects of differences between the financial and tax basis of assets and liabilities based on currently enacted tax laws. The tax balances and income tax expense recognized are based on management’s interpretation of the tax laws of multiple jurisdictions. Income tax expense also reflects best estimates and assumptions regarding, among other things, the level of future taxable income and tax planning. Future changes in tax laws, changes in projected levels of taxable income, tax planning and adoption and implementation of new accounting standards could impact the effective tax rate and tax balances recorded.</w:t>
      </w:r>
    </w:p>
    <w:p>
      <w:pPr>
        <w:spacing w:after="0" w:line="75"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Tax positions are recognized when they are more likely than not to be sustained upon examination. The amount recognized is measured as the largest amount of benefit that is more likely than not to be realized upon settlement. The Company is subject to periodic audits by the United States Internal Revenue Service and other state and local taxing authorities. These audits may challenge certain of the Company’s tax positions such as the timing and amount of income and deductions and the allocation of taxable income to various tax jurisdictions. The Company evaluates its tax positions and establishes liabilities in accordance with the applicable accounting guidance on uncertainty in income taxes. These tax uncertainties are reviewed as facts and circumstances change and are adjusted accordingly. This requires significant management judgment in estimating final outcomes. Interest and penalties are classified as Income tax expense in the Consolidated Statements of Operations.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 xml:space="preserve">The Company performed an evaluation over its deferred tax assets and determined that a valuation allowance is considered necessary for certain jurisdictions.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 on the valuation allowance.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has a self-insured plan for health and welfare benefits and provides an accrual to cover the obligation. The accrual for the self-insured liability is based on claims filed and an estimate of claims incurred but not yet reported. The Company considers a number of factors, including historical claims information, when determining the amount of the accrual. Costs related to the administration of the plan and related claims are expensed as incurred. Total expenses, net of employee contributions, were $18.9 million, $17.7 million and $17.3 million for Fiscal 2023, Fiscal 2022 and Fiscal 2021, respectively.</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 also has a self-insured plan for certain costs related to workers’ compensation. The Company obtains third-party insurance coverage to limit exposure to this workers’ compensation self-insured risk.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 Plan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Company has a 401(k) retirement plan, which covers most regular employees and allows them to make contributions. The Company also provides a matching contribution on a portion of the employee contributions. Total expenses incurred under this plan were $3.9 million for Fiscal 2023, Fiscal 2022 and Fiscal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Other comprehensive income (loss) encompasses all changes in equity other than those arising from transactions with stockholders and is comprised solely of foreign currency translation adjustments. Our foreign subsidiaries use their foreign currency as their functional currency. Functional currency assets and liabilities are translated into U.S. Dollars using exchange rates in effect at the balance sheet date, and revenues and expenses are translated at average exchange rates during the period. Resulting translation gains and losses are reported in other comprehensive income (loss), until the substantial liquidation of a subsidiary, at which time accumulated transactions gains or losses are reclassified into net income. During Fiscal 2023, the Company recognized a net gain of $0.4 million of cumulative foreign currency translation adjustments related to the substantial liquidation of Lands’ End Japan.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00" w:type="dxa"/>
            <w:vAlign w:val="bottom"/>
          </w:tcPr>
          <w:p>
            <w:pPr>
              <w:ind w:left="1140"/>
              <w:spacing w:after="0" w:line="205" w:lineRule="exact"/>
              <w:rPr>
                <w:sz w:val="20"/>
                <w:szCs w:val="20"/>
                <w:color w:val="auto"/>
              </w:rPr>
            </w:pPr>
            <w:r>
              <w:rPr>
                <w:rFonts w:ascii="Times New Roman" w:cs="Times New Roman" w:eastAsia="Times New Roman" w:hAnsi="Times New Roman"/>
                <w:sz w:val="18"/>
                <w:szCs w:val="18"/>
                <w:color w:val="auto"/>
              </w:rPr>
              <w:t>Beginning balance: Accumulated other comprehensive loss (net of tax</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of $4,525, $3,361, and $2,987,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(12,642 )</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$(348),</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$1,164, and $374, respectively)</w:t>
            </w:r>
          </w:p>
        </w:tc>
        <w:tc>
          <w:tcPr>
            <w:tcW w:w="1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Reclassification of foreign currency translation gain to income (net</w:t>
            </w: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of tax of $94, $0, and $0, respectively)</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0" w:type="dxa"/>
            <w:vAlign w:val="bottom"/>
          </w:tcPr>
          <w:p>
            <w:pPr>
              <w:ind w:left="1140"/>
              <w:spacing w:after="0" w:line="205" w:lineRule="exact"/>
              <w:rPr>
                <w:sz w:val="20"/>
                <w:szCs w:val="20"/>
                <w:color w:val="auto"/>
              </w:rPr>
            </w:pPr>
            <w:r>
              <w:rPr>
                <w:rFonts w:ascii="Times New Roman" w:cs="Times New Roman" w:eastAsia="Times New Roman" w:hAnsi="Times New Roman"/>
                <w:sz w:val="18"/>
                <w:szCs w:val="18"/>
                <w:color w:val="auto"/>
              </w:rPr>
              <w:t>Ending balance: Accumulated other comprehensive loss (net of tax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(16,069 )</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(17,022 )</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(12,642 )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$4,271, $4,525, and $3,361, respectively)</w:t>
            </w: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6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Stock-based compensation expense for restricted stock units, comprised of both Deferred Awards and Performance Awards, is determined based on the grant date fair value. The fair value of Deferred Awards and of Performance Awards granted before Fiscal 2023 are based on the closing price of the Company’s common stock on the grant date. For Performance Awards granted in Fiscal 2023 which include market conditions to determine, in part, vesting, the grant date fair value is based on the Monte Carlo simulation model. Performance Awards have, in addition to a service requirement, performance criteria that must be achieved for the awards to be earned. 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w:t>
      </w:r>
    </w:p>
    <w:p>
      <w:pPr>
        <w:spacing w:after="0" w:line="8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cost net of estimated forfeitures and revises the estimated forfeitures in subsequent periods if actual forfeitures differ from the estimates. The Company estimates the forfeiture rate based on historical data as well as expected future behavior. Stock-based compensation is recorded in Selling and administrative expense in the Consolidated Statements of Operations over the period in which the employee is required to provide service in exchange for the Deferred Awards and Option awards and over the applicable performance period for Performance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The numerator for both basic and diluted EPS is net income (loss) attributable to the Company. The denominator for basic EPS is based upon the number of weighted average shares of the Company’s common stock outstanding during the reporting periods. The denominator for diluted EPS is based upon the number of weighted average shares of the Company’s common stock and common stock equivalents outstanding during the reporting periods using the treasury stock method in accordance with </w:t>
      </w:r>
      <w:r>
        <w:rPr>
          <w:rFonts w:ascii="Times New Roman" w:cs="Times New Roman" w:eastAsia="Times New Roman" w:hAnsi="Times New Roman"/>
          <w:sz w:val="18"/>
          <w:szCs w:val="18"/>
          <w:i w:val="1"/>
          <w:iCs w:val="1"/>
          <w:color w:val="auto"/>
        </w:rPr>
        <w:t>ASC 260, Earnings Per Share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basic and diluted EPS: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0" w:type="dxa"/>
            <w:vAlign w:val="bottom"/>
          </w:tcPr>
          <w:p>
            <w:pPr>
              <w:spacing w:after="0"/>
              <w:rPr>
                <w:sz w:val="1"/>
                <w:szCs w:val="1"/>
                <w:color w:val="auto"/>
              </w:rPr>
            </w:pP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33,369</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31,970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33,108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32,929</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Dilutive impact of stock awards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31,970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33,108</w:t>
            </w: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33,681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46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shares excluded from diluted earnings (loss) per</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calculation</w:t>
            </w:r>
          </w:p>
        </w:tc>
        <w:tc>
          <w:tcPr>
            <w:tcW w:w="1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40" w:firstLine="499"/>
        <w:spacing w:after="0" w:line="375" w:lineRule="auto"/>
        <w:rPr>
          <w:sz w:val="20"/>
          <w:szCs w:val="20"/>
          <w:color w:val="auto"/>
        </w:rPr>
      </w:pPr>
      <w:r>
        <w:rPr>
          <w:rFonts w:ascii="Times New Roman" w:cs="Times New Roman" w:eastAsia="Times New Roman" w:hAnsi="Times New Roman"/>
          <w:sz w:val="18"/>
          <w:szCs w:val="18"/>
          <w:color w:val="auto"/>
        </w:rPr>
        <w:t xml:space="preserve">Stock awards are considered anti-dilutive based on the application of the treasury stock method or in the event of a net loss. </w:t>
      </w:r>
      <w:r>
        <w:rPr>
          <w:rFonts w:ascii="Times New Roman" w:cs="Times New Roman" w:eastAsia="Times New Roman" w:hAnsi="Times New Roman"/>
          <w:sz w:val="18"/>
          <w:szCs w:val="18"/>
          <w:b w:val="1"/>
          <w:bCs w:val="1"/>
          <w:color w:val="auto"/>
        </w:rPr>
        <w:t>Repurchases of Common Stock</w:t>
      </w:r>
    </w:p>
    <w:p>
      <w:pPr>
        <w:spacing w:after="0" w:line="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Shares of the Company’s common stock may be repurchased by the Company through open market transactions. The par value of the shares retired is charged against Common stock and the remaining purchase price is allocated between Additional paid-in capital and (Accumulated deficit) Retained earnings. The portion charged against Additional paid-in capital is determined based on the Additional paid-in capital per share amount recorded in the initial issuance of the shares with the remaining portion charged to (Accumulated deficit) Retained earnings. For transactions in which the purchase price is less than the price at initial issuance, the full amount is charged against Additional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paid-in capital. The total cost of the broker commissions is charged directly to (Accumulated deficit) Retained earnings. All shares repurchased under the 2022 Share Repurchase Program have been retired. See Note 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Reporting </w:t>
      </w:r>
      <w:r>
        <w:rPr>
          <w:rFonts w:ascii="Times New Roman" w:cs="Times New Roman" w:eastAsia="Times New Roman" w:hAnsi="Times New Roman"/>
          <w:sz w:val="18"/>
          <w:szCs w:val="18"/>
          <w:color w:val="auto"/>
        </w:rPr>
        <w:t>(“ASU 2020-04”) which provides temporary optional guidance to ease the potential burden in accounting for reference rate reform.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guidance provides optional expedients and exceptions for applying generally accepted accounting principles to transactions affected by reference rate reform if certain criteria are met. These transactions include contract modifications, hedge relationships and sale or transfer of debt securities classified as held-to-maturity. This ASU, which was effective upon issuance and modified by ASU 2022-06, </w:t>
      </w:r>
      <w:r>
        <w:rPr>
          <w:rFonts w:ascii="Times New Roman" w:cs="Times New Roman" w:eastAsia="Times New Roman" w:hAnsi="Times New Roman"/>
          <w:sz w:val="18"/>
          <w:szCs w:val="18"/>
          <w:i w:val="1"/>
          <w:iCs w:val="1"/>
          <w:color w:val="auto"/>
        </w:rPr>
        <w:t>Reference Rate Reform (Topic 848): Deferral of Sunset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 of Topic 848</w:t>
      </w:r>
      <w:r>
        <w:rPr>
          <w:rFonts w:ascii="Times New Roman" w:cs="Times New Roman" w:eastAsia="Times New Roman" w:hAnsi="Times New Roman"/>
          <w:sz w:val="18"/>
          <w:szCs w:val="18"/>
          <w:color w:val="auto"/>
        </w:rPr>
        <w:t>, may be applied through December 31, 2024, is applicable to all contracts and hedging relationships that reference the LIBOR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reference rate expected to be discontinued. The guidance in ASU 2020-04 may be implemented over time as reference rate reform activities occur.</w:t>
      </w:r>
    </w:p>
    <w:p>
      <w:pPr>
        <w:spacing w:after="0" w:line="7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As part of the response to the reference rate reform, during Second Quarter 2023, the Company amended the ABL Facility and Former Term Loan Facility to replace the interest rate based upon the LIBOR benchmark to the SOFR benchmark.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additional details regarding these changes. Concurrent with the amendments, the Company adopted ASU 2020-04. The Company utilized optional practical expedients for contract modifications under ASC 848-20-358 </w:t>
      </w:r>
      <w:r>
        <w:rPr>
          <w:rFonts w:ascii="Times New Roman" w:cs="Times New Roman" w:eastAsia="Times New Roman" w:hAnsi="Times New Roman"/>
          <w:sz w:val="18"/>
          <w:szCs w:val="18"/>
          <w:i w:val="1"/>
          <w:iCs w:val="1"/>
          <w:color w:val="auto"/>
        </w:rPr>
        <w:t>Contracts within the Scope of Topic 470</w:t>
      </w:r>
      <w:r>
        <w:rPr>
          <w:rFonts w:ascii="Times New Roman" w:cs="Times New Roman" w:eastAsia="Times New Roman" w:hAnsi="Times New Roman"/>
          <w:sz w:val="18"/>
          <w:szCs w:val="18"/>
          <w:color w:val="auto"/>
        </w:rPr>
        <w:t xml:space="preserve"> and the adoption of ASU 2020-04 did not have a material impact on the Company’s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9"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The Company is currently assessing the impact of ASU 2023-07 on the Company’s Consolidated Financial Statement disclosures.</w:t>
      </w:r>
    </w:p>
    <w:p>
      <w:pPr>
        <w:spacing w:after="0" w:line="74"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includes requirements that an entity disclose specific categories in the rate reconciliation and provide additional information for reconciling items that are greater than five percent of the amount computed by multiplying pretax income (or loss) by the applicable statutory income rate. The standard also requires that entities disclose income (or loss) from continuing operations before income tax expense (or benefit) and income tax expense (or benefit) each disaggregated between domestic and foreign. ASU 2023-09 is effective for the annual periods beginning after December 15, 2024. The Company is currently assessing the impact of ASU 2023-09 on the Company’s Consolidated Financial Statement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Company’s $275.0 million committed revolving ABL Facility includes a $70.0 million sublimit for letters of credit and is available for working capital and other general corporate liquidity needs. The amount available to borrow is the lesser of (1) the Aggregate Commitments of $275.0 million (“ABL Facility Limit”) or (2) the Borrowing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 or Loan Cap which is calculated from Eligible Inventory, Trade Receivables and Credit Card Receivables, all foregoing capitalized terms not defined herein are as defined in the ABL Facility.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ABL Facility borrowing availability:</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27, 2023</w:t>
            </w:r>
          </w:p>
        </w:tc>
      </w:tr>
      <w:tr>
        <w:trPr>
          <w:trHeight w:val="169"/>
        </w:trPr>
        <w:tc>
          <w:tcPr>
            <w:tcW w:w="4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80" w:type="dxa"/>
            <w:vAlign w:val="bottom"/>
          </w:tcPr>
          <w:p>
            <w:pPr>
              <w:spacing w:after="0"/>
              <w:rPr>
                <w:sz w:val="14"/>
                <w:szCs w:val="14"/>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ABL Facility limit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275,000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Borrowing Base</w:t>
            </w:r>
          </w:p>
        </w:tc>
        <w:tc>
          <w:tcPr>
            <w:tcW w:w="1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176,311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274,354</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1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6.27 %</w:t>
            </w:r>
          </w:p>
        </w:tc>
      </w:tr>
      <w:tr>
        <w:trPr>
          <w:trHeight w:val="25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9,070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10,557</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ABL Facility utilization at end of period</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9,070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110,557</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ABL Facility borrowing availability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167,241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163,797</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On December 29, 2023, the Company entered into the Current Term Loan Facility which provides borrowings of $260.0 million, the proceeds of which were used to repay all of the indebtedness under the Former Term Loan Facility and to pay fees and expenses in connection with the financing. Origination costs, including a 3% original issue discount of $7.8 million and debt origination fees of $2.9 million, were incurred in connection with entering into the Current Term Loan Facility. The original issue discount and the debt origination fees are presented as a direct deduction from the carrying value of the Current Term Loan Facility and Former Term Loan Facility and are amortized over the term of the loan to Interest expense in the Consolidated Statements of Operations.</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a result of the Former Term Loan Facility repayment before the scheduled maturity date, the transaction was subject to a 1% prepayment premium of $2.3 million. Additionally, the Company recorded $4.4 million for the write off of unamortized original issue discount and debt issuance costs of the Former Term Loan Facility. These charges resulted in a loss on extinguishment of debt of $6.7 million in Fourth Quarter 2023.</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long-term debt consisted of the following:</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206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January 27, 2023</w:t>
            </w:r>
          </w:p>
        </w:tc>
      </w:tr>
      <w:tr>
        <w:trPr>
          <w:trHeight w:val="169"/>
        </w:trPr>
        <w:tc>
          <w:tcPr>
            <w:tcW w:w="4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4"/>
                <w:szCs w:val="14"/>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Former Term Loan Facility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244,063</w:t>
            </w:r>
          </w:p>
        </w:tc>
        <w:tc>
          <w:tcPr>
            <w:tcW w:w="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Current Term Loan Facility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260,000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13.70 %</w:t>
            </w:r>
          </w:p>
        </w:tc>
        <w:tc>
          <w:tcPr>
            <w:tcW w:w="14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13,750</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6,807</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236,170</w:t>
            </w:r>
          </w:p>
        </w:tc>
        <w:tc>
          <w:tcPr>
            <w:tcW w:w="1280" w:type="dxa"/>
            <w:vAlign w:val="bottom"/>
            <w:gridSpan w:val="3"/>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223,506</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11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Effective May 12, 2023, the Company executed the Fourth Amendment (the “Fourth Amendment”) to the ABL Facility which replaced the interest rate benchmark based on LIBOR with an interest rate benchmark based on SOFR plus an adjustment of 0.10% for all loans (“ABL Adjusted SOFR”). During Second Quarter 2023, the Company adopted ASU 2020-04, the optional practical expedient for Reference Rate and as such, this amendment was treated as a continuation of the existing agreement and no gain or loss on this modification was recorded in the Consolidated Statement of Operations. The ABL Adjusted SOFR rate is now available for all new loans after the effective date of the Fourth Amendment.</w:t>
      </w:r>
    </w:p>
    <w:p>
      <w:pPr>
        <w:spacing w:after="0" w:line="7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Effective with the Fourth Amendment, the ABL Facility interest rate, selected at the borrower’s election, is either (1) ABL Adjusted SOFR, or (2) a base rate which is the greater of (a) the federal funds rate plus 0.50%, (b) the one-month ABL Adjusted SOFR rate plus 1.00%, or (c) the Wells Fargo “prime rate”. The borrowing margin for ABL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SOFR loans is (i) less than $95.0 million, 1.25%, (ii) equal to or greater than $95.0 million but less than $180.0 million, 1.50%, and (iii) greater than or equal to $180.0 million, 1.75%. For base rate loans, the borrowing margin is (i) less than $95.0 million, 0.50%, (ii) equal to or greater than $95.0 million but less than $180.0 million, 0.75%, and (iii) greater than or equal to $180.0 million, 1.00% (“Applicable Borrowing Margin”). The Applicable Borrowing Margin for all loans is based upon the average daily total loans outstanding for the previous quarter. The Fourth Amendment had no material interest rate impact.</w:t>
      </w:r>
    </w:p>
    <w:p>
      <w:pPr>
        <w:spacing w:after="0" w:line="7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Prior to the Fourth Amendment to the ABL Facility, the interest rate, selected at the borrower’s election, was either (1) LIBOR (plus the Applicable Borrowing Margin), or (2) a base rate (plus the Applicable Borrowing Margin) which was the greater of (a) the federal funds rate plus 0.50%, (b) the one-month LIBOR rate plus 1.00%, or (c) the Wells Fargo “prime rate”.</w:t>
      </w:r>
    </w:p>
    <w:p>
      <w:pPr>
        <w:spacing w:after="0" w:line="68"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ABL Facility fees include (i) commitment fees of 0.25% based upon the average daily unused commitment (aggregate commitment less loans and letter of credit outstanding) under the ABL Facility for the preceding fiscal quarter, (ii) customary letter of credit fees and (iii) customary annual agent fees. As of February 2, 2024, the Company had no borrowings outstanding under the ABL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Term Loan Facility</w:t>
      </w:r>
    </w:p>
    <w:p>
      <w:pPr>
        <w:spacing w:after="0" w:line="119"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 interest rates per annum applicable to the loans under the Current Term Loan Facility are based on a fluctuating rate of interest equal to, at the Company’s election, either (1) Term Loan Adjusted SOFR loan (subject to a 2% floor) plus an applicable margin, or (2) an alternative base rate loan plus an applicable margin. The applicable margin is based on the Company’s net leverage and will be, (i) Term Loan Adjusted SOFR loans, 8.25% per annum if the total leverage ratio is greater than or equal to 2.75:1.00, 8.00% per annum if the total leverage ratio is less than 2.75:1.00 but greater than or equal to 2.25:1.00, and 7.75% per annum if the total leverage ratio is less than 2.25:1.00 and (ii) for base rate loans, 7.25% per annum if the total leverage ratio is greater than or equal to 2.75:1.00, 7.00% per annum if the total leverage ratio is less than 2.75:1.00 but greater than or equal to 2.25:1.00, and 6.75% per annum if the total leverage ratio is less than 2.25:1.00. In each case, the net leverage is determined as of the last day of each applicable measurement period.</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Customary agency fees are payable annually for the Current Term Loan Facility.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Term Loan Facility</w:t>
      </w:r>
    </w:p>
    <w:p>
      <w:pPr>
        <w:spacing w:after="0" w:line="11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Effective June 22, 2023, the Company entered into Amendment No. 1 (the “First Amendment”) to the Former Term Loan Facility which (subject to a 1% floor) replaced the interest rate benchmark based upon LIBOR with Term Loan Adjusted SOFR. This transition resulted in no material interest rate impact. During Second Quarter 2023, the Company adopted ASU 2020-04, the optional practical expedient for Reference Rate and as such, this amendment was treated as a continuation of the existing agreement and no gain or loss on this modification was recorded in the Consolidated Statement of Operations.</w:t>
      </w:r>
    </w:p>
    <w:p>
      <w:pPr>
        <w:spacing w:after="0" w:line="75"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Prior to the First Amendment to the Former Term Loan Facility, the interest rate per annum applicable to the loans under the Former Term Loan Facility was based on a fluctuating rate of interest measured by reference to, at the borrower’s election, either (1) a LIBOR rate (with a minimum rate of 1.00%) plus 9.75% or (2) an alternative base rate (which was the greater of (i) the prime rate published in the Wall Street Journal, (ii) the federal funds rate, which was to be no lower than 0.00% plus ½ of 1.00%, or (iii) the one month LIBOR rate plus 1.00% per annum) plus 8.75%.</w:t>
      </w:r>
    </w:p>
    <w:p>
      <w:pPr>
        <w:spacing w:after="0" w:line="72"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Effective with the First Amendment to the Former Term Loan Facility, the interest rate per annum applicable to the loans under the Former Term Loan Facility was based on a fluctuating rate of interest measured by reference to, at the borrower’s election, either (1) a Term Adjusted Loan SOFR rate plus 9.75% or (2) an alternative base rate (which is the greater of (i) the prime rate published in the Wall Street Journal, (ii) the federal funds rate, which shall be no lower than 0.00% plus ½ of 1.00%, or (iii) the one month Term Loan Adjusted SOFR rate plus 1.00% per annum) plus 8.75%.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Customary agency fees were paid annually for the Former Term Loan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Amortization and Prepayments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ABL Facility maturity date is July 29, 2026.</w:t>
      </w:r>
    </w:p>
    <w:p>
      <w:pPr>
        <w:spacing w:after="0" w:line="117"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 Current Term Loan Facility will mature on December 29, 2028, will amortize at a rate equal to 1.25% per quarter. Depending upon the Company’s Total Leverage Ratio, as defined in the Current Term Loan Facility, mandatory prepayments in an amount equal to a percentage of the Company’s excess cash flows in each fiscal year, ranging from 0% to 75% are required. The Current Term Loan Facility also has typical prepayment requirements for the proceeds of certain asset sales, casualty events and extraordinary receipts. Voluntary prepayment and certain mandatory prepayments made (i) on or before December 29, 2024 would result in a prepayment premium equal to 3% of the principal amount of the loan prepaid plus a yield maintenance fee, (ii) between December 30, 2024 and December 29, 2025 would result in a prepayment premium equal to 2% of the principal amount of the loan prepaid, (iii) between December 30, 2025 and December 29, 2026, would result in a prepayment premium equal to 1% of the principal amount of the loan prepaid, (iv) between December 30, 2026 and December 29, 2027, would result in a prepayment premium equal to 0.5% of the principal amount of the loan prepaid and (v) thereafter no prepayment premium is due.</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aggregate scheduled maturities of the Debt Facilities as of February 2, 2024 are as follows:</w:t>
      </w:r>
    </w:p>
    <w:p>
      <w:pPr>
        <w:spacing w:after="0" w:line="1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Scheduled maturities</w:t>
      </w:r>
    </w:p>
    <w:p>
      <w:pPr>
        <w:spacing w:after="0" w:line="3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16510</wp:posOffset>
            </wp:positionV>
            <wp:extent cx="42773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5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208,000</w:t>
            </w:r>
          </w:p>
        </w:tc>
      </w:t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260,000</w:t>
            </w:r>
          </w:p>
        </w:tc>
      </w:tr>
      <w:tr>
        <w:trPr>
          <w:trHeight w:val="20"/>
        </w:trPr>
        <w:tc>
          <w:tcPr>
            <w:tcW w:w="3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Security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All obligations under the Debt Facilities are unconditionally guaranteed by Lands’ End, Inc. and, subject to certain exceptions, each of its existing and future direct and indirect subsidiaries. The ABL Facility is secured by a first priority security interest in certain working capital of the borrowers and guarantors consisting primarily of accounts receivable and inventory. The Current Term Loan Facility is secured by a second priority security interest in the same collateral, with certain exceptions.</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Current Term Loan Facility is secured by a first priority security interest in certain property and assets including certain fixed assets such as real estate, stock of subsidiaries and intellectual property, in each case, subject to certain exceptions. The ABL Facility is secured by a second priority interest in the same collateral, with certain exceptions.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Debt Facilities contain various representations and warranties and restrictive covenants that, among other things, restrict Lands’ End, Inc.’s and its subsidiaries’ ability to incur indebtedness (including guarantees), grant liens, make investments, make dividends or distributions with respect to capital stock, make prepayments on other indebtedness, engage in mergers or change the nature of their business.</w:t>
      </w:r>
    </w:p>
    <w:p>
      <w:pPr>
        <w:spacing w:after="0" w:line="68"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Current Term Loan Facility contains financial covenants, including a quarterly maximum total leverage ratio test and a monthly minimum liquidity test.</w:t>
      </w:r>
    </w:p>
    <w:p>
      <w:pPr>
        <w:spacing w:after="0" w:line="54"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$15.0 million, the Company will be required to comply with a minimum fixed charge coverage ratio of 1.0 to 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Debt Facilities contain certain affirmative covenants, including reporting requirements such as delivery of financial statements, certificates and notices of certain events, maintaining insurance and providing additional guarantees and collateral in certain circumstances.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February 2, 2024, the Company was in compliance with its financial covenants in the Debt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Debt Facilities include customary events of default including non-payment of principal, interest or fees, violation of covenants, inaccuracy of representations or warranties, cross defaults related to certain other material indebtedness, bankruptcy and insolvency events, invalidity or impairment of guarantees or security interests, material judgments and change of control.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components of lease expense, primarily related to Company Operated stores, which is included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 in the Consolidated Statements of Operations: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Fiscal 2021</w:t>
            </w:r>
          </w:p>
        </w:tc>
      </w:tr>
      <w:tr>
        <w:trPr>
          <w:trHeight w:val="22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6,340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8,273</w:t>
            </w:r>
          </w:p>
        </w:tc>
      </w:tr>
      <w:tr>
        <w:trPr>
          <w:trHeight w:val="25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2,572</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2,714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2,312</w:t>
            </w: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8,912</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10,180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10,585</w:t>
            </w: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Short-term lease cost was not material for Fiscal 2023, Fiscal 2022 or Fiscal 2021.</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3"/>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228"/>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23,438</w:t>
            </w:r>
          </w:p>
        </w:tc>
        <w:tc>
          <w:tcPr>
            <w:tcW w:w="16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30,325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liability – long-term</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22,952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31,095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6.62 %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6.36 %</w:t>
            </w:r>
          </w:p>
        </w:tc>
        <w:tc>
          <w:tcPr>
            <w:tcW w:w="0" w:type="dxa"/>
            <w:vAlign w:val="bottom"/>
          </w:tcPr>
          <w:p>
            <w:pPr>
              <w:spacing w:after="0"/>
              <w:rPr>
                <w:sz w:val="1"/>
                <w:szCs w:val="1"/>
                <w:color w:val="auto"/>
              </w:rPr>
            </w:pPr>
          </w:p>
        </w:tc>
      </w:tr>
      <w:tr>
        <w:trPr>
          <w:trHeight w:val="486"/>
        </w:trPr>
        <w:tc>
          <w:tcPr>
            <w:tcW w:w="6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are as follows: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2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4"/>
                <w:szCs w:val="24"/>
                <w:color w:val="auto"/>
              </w:rPr>
            </w:pP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0" w:type="dxa"/>
            <w:vAlign w:val="bottom"/>
          </w:tcPr>
          <w:p>
            <w:pPr>
              <w:spacing w:after="0"/>
              <w:rPr>
                <w:sz w:val="1"/>
                <w:szCs w:val="1"/>
                <w:color w:val="auto"/>
              </w:rPr>
            </w:pPr>
          </w:p>
        </w:tc>
      </w:tr>
      <w:tr>
        <w:trPr>
          <w:trHeight w:val="228"/>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8,060</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8"/>
              </w:rPr>
              <w:t>9,154</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10,509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lease right-of-use-assets (reversal) obtained in exchange for</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(2,236 )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8"/>
              </w:rPr>
              <w:t>4,440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6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operating lease liabilities as of February 2, 2024 are as follows: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642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7,682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5,671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5,372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5,212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6,552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34,951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5,975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28,976</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STOCK-BASED COMPENSATION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expenses the fair value of all stock awards over the requisite service period, ensuring that the amount of cumulative stock-based compensation expense recognized at any date is at least equal to the portion of the grant-date fair value of the award that is vested at that date. The Company has elected to adjust stock-based compensation expense for an estimated forfeiture rate for those shares not expected to vest and to recognize stock-based compensation expense on a straight-line basis for awards that only have a service requirement with multiple vest dates.</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Company has granted the following types of stock awards to employees at management levels and above, each of which are granted under the Company’s stockholder approved stock plans, other than inducement grants outside of the Company’s stockholder approved stock plans in accordance with Nasdaq Listing Rule 5635(c)(4):</w:t>
      </w:r>
    </w:p>
    <w:p>
      <w:pPr>
        <w:spacing w:after="0" w:line="68" w:lineRule="exact"/>
        <w:rPr>
          <w:sz w:val="20"/>
          <w:szCs w:val="20"/>
          <w:color w:val="auto"/>
        </w:rPr>
      </w:pPr>
    </w:p>
    <w:p>
      <w:pPr>
        <w:jc w:val="both"/>
        <w:ind w:left="1000" w:hanging="493"/>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Awards are in the form of restricted stock units and only require each recipient to complete a service period for the awards to be earned. Deferred Awards generally vest over three years. The fair value of Deferred Awards is based on the closing price of the Company’s common stock on the grant date. Stock-based compensation expense is recognized ratably over the service period and is reduced for estimated forfeitures of those awards not expected to vest due to employee turnover.</w:t>
      </w:r>
    </w:p>
    <w:p>
      <w:pPr>
        <w:spacing w:after="0" w:line="71" w:lineRule="exact"/>
        <w:rPr>
          <w:rFonts w:ascii="Times New Roman" w:cs="Times New Roman" w:eastAsia="Times New Roman" w:hAnsi="Times New Roman"/>
          <w:sz w:val="18"/>
          <w:szCs w:val="18"/>
          <w:color w:val="auto"/>
        </w:rPr>
      </w:pPr>
    </w:p>
    <w:p>
      <w:pPr>
        <w:jc w:val="both"/>
        <w:ind w:left="1000" w:hanging="493"/>
        <w:spacing w:after="0" w:line="25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are in the form of restricted stock units and have, in addition to a service requirement, performance criteria that must be achieved for the awards to be earned. The Performance Awards granted in Fiscal 2023 are subject to a relative total shareholder return (“TSR”) modifier which is based on the Company’s total return to stockholders over the measurement period relative to a custom peer group. The Target Shares earned can range from 50% to 200% (such result, the “Earned Shares”) once minimum thresholds have been reached and depend on the achievement of Adjusted EBITDA and revenue performance measures, for the cumulative period comprised of three-consecutive fiscal years beginning with the fiscal year of the grant date. For Fiscal 2023 Performance Awards, the TSR modifier can result in an adjustment of 75% to 125% of the Earned Shares, subject to an overall cap of 200% and a modifier limitation to 100% in the event TSR is negative. Performance Awards are also subject to limitations under the Company’s stockholder approved stock plans. The applicable percentage of the Target Shares, as determined by performance, vest after the completion of the applicable three-year performance period and upon determination of achievement of the performance measures by the Compensation Committee of the Board of Directors, and unearned Target Shares are forfeited. The fair value of the Performance Awards granted before Fiscal 2023 are based on the closing price of the Company’s common stock on the grant date. For awards granted in Fiscal 2023 which include market conditions, the grant date fair value is based on the Monte Carlo simulation model. Stock-based compensation expense, including awards with market conditions, is recognized ratably over the related service period reduced for estimated forfeitures of those awards not expected to vest due to employee turnover and adjusted based on the Company’s estimate of the percentage of the aggregate Target Shares expected to be earned. The Company accrues for Performance Awards on a 100% payout unless it becomes probable that the outcome will be significantly different, or the performance can be more accurately measured.</w:t>
      </w:r>
    </w:p>
    <w:p>
      <w:pPr>
        <w:spacing w:after="0" w:line="85"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 The fair value of each Option Award is estimated on the grant date using the Black-Scholes option pricing model.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Company’s stock-based compensation expense, which is included in Selling and administrative expense in the Consolidated Statements of Operations: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Fiscal 2021</w:t>
            </w: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Deferred awards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3,491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5,683</w:t>
            </w:r>
          </w:p>
        </w:tc>
      </w:tr>
      <w:tr>
        <w:trPr>
          <w:trHeight w:val="263"/>
        </w:trPr>
        <w:tc>
          <w:tcPr>
            <w:tcW w:w="5280" w:type="dxa"/>
            <w:vAlign w:val="bottom"/>
          </w:tcPr>
          <w:p>
            <w:pPr>
              <w:spacing w:after="0" w:line="263" w:lineRule="exact"/>
              <w:rPr>
                <w:sz w:val="20"/>
                <w:szCs w:val="20"/>
                <w:color w:val="auto"/>
              </w:rPr>
            </w:pPr>
            <w:r>
              <w:rPr>
                <w:rFonts w:ascii="Times New Roman" w:cs="Times New Roman" w:eastAsia="Times New Roman" w:hAnsi="Times New Roman"/>
                <w:sz w:val="18"/>
                <w:szCs w:val="18"/>
                <w:color w:val="auto"/>
              </w:rPr>
              <w:t xml:space="preserve">Performance awards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4,370</w:t>
            </w: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3,827</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10,156</w:t>
            </w: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500" w:hanging="492"/>
        <w:spacing w:after="0" w:line="234" w:lineRule="auto"/>
        <w:tabs>
          <w:tab w:leader="none" w:pos="50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Net credit expense for Fiscal 2023 and Fiscal 2022 includes a reduction of the accrual for Performance Awards based on actual and projected results relative to performance measures and forfeitures.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Awards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Deferred Awards activity for Fiscal 2023, Fiscal 2022 and Fiscal 2021.</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p>
        </w:tc>
        <w:tc>
          <w:tcPr>
            <w:tcW w:w="174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100" w:type="dxa"/>
            <w:vAlign w:val="bottom"/>
          </w:tcPr>
          <w:p>
            <w:pPr>
              <w:spacing w:after="0"/>
              <w:rPr>
                <w:sz w:val="20"/>
                <w:szCs w:val="20"/>
                <w:color w:val="auto"/>
              </w:rPr>
            </w:pPr>
          </w:p>
        </w:tc>
        <w:tc>
          <w:tcPr>
            <w:tcW w:w="172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80" w:type="dxa"/>
            <w:vAlign w:val="bottom"/>
          </w:tcPr>
          <w:p>
            <w:pPr>
              <w:spacing w:after="0"/>
              <w:rPr>
                <w:sz w:val="20"/>
                <w:szCs w:val="20"/>
                <w:color w:val="auto"/>
              </w:rPr>
            </w:pPr>
          </w:p>
        </w:tc>
        <w:tc>
          <w:tcPr>
            <w:tcW w:w="168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January 28, 2022</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00" w:type="dxa"/>
            <w:vAlign w:val="bottom"/>
          </w:tcPr>
          <w:p>
            <w:pPr>
              <w:spacing w:after="0"/>
              <w:rPr>
                <w:sz w:val="12"/>
                <w:szCs w:val="12"/>
                <w:color w:val="auto"/>
              </w:rPr>
            </w:pPr>
          </w:p>
        </w:tc>
        <w:tc>
          <w:tcPr>
            <w:tcW w:w="86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7"/>
        </w:trPr>
        <w:tc>
          <w:tcPr>
            <w:tcW w:w="3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8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5"/>
        </w:trPr>
        <w:tc>
          <w:tcPr>
            <w:tcW w:w="366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Deferred Awards at beginning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year</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16.46</w:t>
            </w:r>
          </w:p>
        </w:tc>
        <w:tc>
          <w:tcPr>
            <w:tcW w:w="9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14.60</w:t>
            </w:r>
          </w:p>
        </w:tc>
        <w:tc>
          <w:tcPr>
            <w:tcW w:w="9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8.53</w:t>
            </w:r>
          </w:p>
        </w:tc>
        <w:tc>
          <w:tcPr>
            <w:tcW w:w="9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18.09</w:t>
            </w:r>
          </w:p>
        </w:tc>
        <w:tc>
          <w:tcPr>
            <w:tcW w:w="9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Deferred Awards at end</w:t>
            </w:r>
          </w:p>
        </w:tc>
        <w:tc>
          <w:tcPr>
            <w:tcW w:w="86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11.44</w:t>
            </w:r>
          </w:p>
        </w:tc>
        <w:tc>
          <w:tcPr>
            <w:tcW w:w="96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16.46</w:t>
            </w:r>
          </w:p>
        </w:tc>
        <w:tc>
          <w:tcPr>
            <w:tcW w:w="9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07"/>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year</w:t>
            </w:r>
          </w:p>
        </w:tc>
        <w:tc>
          <w:tcPr>
            <w:tcW w:w="8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Deferred Awards was approximately $6.2 million as of February 2, 2024, which is expected to be recognized ratably over a weighted average period of 2.1 years. The total fair value of Deferred Awards vested during Fiscal 2023 and Fiscal 2022 was $5.5 million and $5.7 million, respectively. Deferred Awards granted to employees during Fiscal 2023 vest over a period of three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Performance Awards activity for Fiscal 2023, Fiscal 2022 and Fiscal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800" w:type="dxa"/>
            <w:vAlign w:val="bottom"/>
          </w:tcPr>
          <w:p>
            <w:pPr>
              <w:spacing w:after="0"/>
              <w:rPr>
                <w:sz w:val="20"/>
                <w:szCs w:val="20"/>
                <w:color w:val="auto"/>
              </w:rPr>
            </w:pPr>
          </w:p>
        </w:tc>
        <w:tc>
          <w:tcPr>
            <w:tcW w:w="1740" w:type="dxa"/>
            <w:vAlign w:val="bottom"/>
            <w:tcBorders>
              <w:bottom w:val="single" w:sz="8" w:color="auto"/>
            </w:tcBorders>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100" w:type="dxa"/>
            <w:vAlign w:val="bottom"/>
          </w:tcPr>
          <w:p>
            <w:pPr>
              <w:spacing w:after="0"/>
              <w:rPr>
                <w:sz w:val="20"/>
                <w:szCs w:val="20"/>
                <w:color w:val="auto"/>
              </w:rPr>
            </w:pPr>
          </w:p>
        </w:tc>
        <w:tc>
          <w:tcPr>
            <w:tcW w:w="172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80" w:type="dxa"/>
            <w:vAlign w:val="bottom"/>
          </w:tcPr>
          <w:p>
            <w:pPr>
              <w:spacing w:after="0"/>
              <w:rPr>
                <w:sz w:val="20"/>
                <w:szCs w:val="20"/>
                <w:color w:val="auto"/>
              </w:rPr>
            </w:pPr>
          </w:p>
        </w:tc>
        <w:tc>
          <w:tcPr>
            <w:tcW w:w="168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January 28, 2022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66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00" w:type="dxa"/>
            <w:vAlign w:val="bottom"/>
          </w:tcPr>
          <w:p>
            <w:pPr>
              <w:spacing w:after="0"/>
              <w:rPr>
                <w:sz w:val="12"/>
                <w:szCs w:val="12"/>
                <w:color w:val="auto"/>
              </w:rPr>
            </w:pPr>
          </w:p>
        </w:tc>
        <w:tc>
          <w:tcPr>
            <w:tcW w:w="8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82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0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80" w:type="dxa"/>
            <w:vAlign w:val="bottom"/>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c>
          <w:tcPr>
            <w:tcW w:w="76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tcPr>
          <w:p>
            <w:pPr>
              <w:spacing w:after="0"/>
              <w:rPr>
                <w:sz w:val="16"/>
                <w:szCs w:val="16"/>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6"/>
                <w:szCs w:val="16"/>
                <w:color w:val="auto"/>
              </w:rPr>
            </w:pPr>
          </w:p>
        </w:tc>
        <w:tc>
          <w:tcPr>
            <w:tcW w:w="780" w:type="dxa"/>
            <w:vAlign w:val="bottom"/>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00" w:type="dxa"/>
            <w:vAlign w:val="bottom"/>
          </w:tcPr>
          <w:p>
            <w:pPr>
              <w:ind w:left="1200"/>
              <w:spacing w:after="0" w:line="205" w:lineRule="exact"/>
              <w:rPr>
                <w:sz w:val="20"/>
                <w:szCs w:val="20"/>
                <w:color w:val="auto"/>
              </w:rPr>
            </w:pPr>
            <w:r>
              <w:rPr>
                <w:rFonts w:ascii="Times New Roman" w:cs="Times New Roman" w:eastAsia="Times New Roman" w:hAnsi="Times New Roman"/>
                <w:sz w:val="18"/>
                <w:szCs w:val="18"/>
                <w:color w:val="auto"/>
              </w:rPr>
              <w:t>Performance Awards at</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beginning of year</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24.39</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21.15</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18.32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9.74</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20.65</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29.95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Change in estimate - performance</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15.73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15.73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21.90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24.39</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Performance Awards at</w:t>
            </w:r>
          </w:p>
        </w:tc>
        <w:tc>
          <w:tcPr>
            <w:tcW w:w="8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vMerge w:val="restart"/>
          </w:tcPr>
          <w:p>
            <w:pPr>
              <w:spacing w:after="0"/>
              <w:rPr>
                <w:sz w:val="18"/>
                <w:szCs w:val="18"/>
                <w:color w:val="auto"/>
              </w:rPr>
            </w:pP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24.39</w:t>
            </w:r>
          </w:p>
        </w:tc>
        <w:tc>
          <w:tcPr>
            <w:tcW w:w="80" w:type="dxa"/>
            <w:vAlign w:val="bottom"/>
            <w:vMerge w:val="restart"/>
          </w:tcPr>
          <w:p>
            <w:pPr>
              <w:spacing w:after="0"/>
              <w:rPr>
                <w:sz w:val="18"/>
                <w:szCs w:val="18"/>
                <w:color w:val="auto"/>
              </w:rPr>
            </w:pPr>
          </w:p>
        </w:tc>
        <w:tc>
          <w:tcPr>
            <w:tcW w:w="820" w:type="dxa"/>
            <w:vAlign w:val="bottom"/>
            <w:vMerge w:val="restart"/>
          </w:tcPr>
          <w:p>
            <w:pPr>
              <w:jc w:val="right"/>
              <w:ind w:right="21"/>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vMerge w:val="restart"/>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21.15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end of year</w:t>
            </w: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Performance Awards was approximately $2.2 million as of Fiscal 2023 which is expected to be recognized ratably over a weighted average period of 2.2 years. The Performance Awards granted to employees during Fiscal 2023 vest, if earned, after completion of the applicable three-year performance period. The fair value for the Performance Awards granted during Fiscal 2023, which includes a relative TSR modifier, was estimated on the grant date using a Monte Carlo simulation with the below noted assumptions:</w:t>
      </w:r>
    </w:p>
    <w:p>
      <w:pPr>
        <w:spacing w:after="0" w:line="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Monte Carlo Simulation Assumptions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1"/>
                <w:szCs w:val="21"/>
                <w:color w:val="auto"/>
                <w:vertAlign w:val="superscript"/>
              </w:rPr>
              <w:t>(1)</w:t>
            </w:r>
          </w:p>
        </w:tc>
        <w:tc>
          <w:tcPr>
            <w:tcW w:w="3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1"/>
                <w:szCs w:val="21"/>
                <w:color w:val="auto"/>
                <w:vertAlign w:val="superscript"/>
              </w:rPr>
              <w:t>(2)</w:t>
            </w:r>
          </w:p>
        </w:tc>
        <w:tc>
          <w:tcPr>
            <w:tcW w:w="3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78.04 %</w:t>
            </w:r>
          </w:p>
        </w:tc>
      </w:tr>
      <w:tr>
        <w:trPr>
          <w:trHeight w:val="25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Expected term (in years) </w:t>
            </w:r>
            <w:r>
              <w:rPr>
                <w:rFonts w:ascii="Times New Roman" w:cs="Times New Roman" w:eastAsia="Times New Roman" w:hAnsi="Times New Roman"/>
                <w:sz w:val="21"/>
                <w:szCs w:val="21"/>
                <w:color w:val="auto"/>
                <w:vertAlign w:val="superscript"/>
              </w:rPr>
              <w:t>(3)</w:t>
            </w:r>
          </w:p>
        </w:tc>
        <w:tc>
          <w:tcPr>
            <w:tcW w:w="3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21"/>
                <w:szCs w:val="2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3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20"/>
                <w:szCs w:val="20"/>
                <w:color w:val="auto"/>
              </w:rPr>
            </w:pPr>
          </w:p>
        </w:tc>
      </w:tr>
    </w:tbl>
    <w:p>
      <w:pPr>
        <w:spacing w:after="0" w:line="207"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risk-free interest is based on the continuously compounded yield on a zero-coupon U.S. Treasury STRIPS as of the grant date for a period equal to the expected term.</w:t>
      </w:r>
    </w:p>
    <w:p>
      <w:pPr>
        <w:spacing w:after="0" w:line="3" w:lineRule="exact"/>
        <w:rPr>
          <w:rFonts w:ascii="Times New Roman" w:cs="Times New Roman" w:eastAsia="Times New Roman" w:hAnsi="Times New Roman"/>
          <w:sz w:val="10"/>
          <w:szCs w:val="10"/>
          <w:color w:val="auto"/>
        </w:rPr>
      </w:pPr>
    </w:p>
    <w:p>
      <w:pPr>
        <w:ind w:left="500" w:hanging="492"/>
        <w:spacing w:after="0" w:line="221" w:lineRule="auto"/>
        <w:tabs>
          <w:tab w:leader="none" w:pos="500" w:val="left"/>
        </w:tabs>
        <w:numPr>
          <w:ilvl w:val="0"/>
          <w:numId w:val="30"/>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expected volatility is estimated based on the historical volatility of the Company’s common stock with a term consistent with the expected term of the performance award.</w:t>
      </w:r>
    </w:p>
    <w:p>
      <w:pPr>
        <w:ind w:left="500" w:hanging="492"/>
        <w:spacing w:after="0"/>
        <w:tabs>
          <w:tab w:leader="none" w:pos="500" w:val="left"/>
        </w:tabs>
        <w:numPr>
          <w:ilvl w:val="0"/>
          <w:numId w:val="30"/>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expected term (in years) of the performance award represents the estimated period of time from the grant date to the end of the performance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Awards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outstanding Options Awards for Fiscal 2023 and Fiscal 2022.</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210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180" w:type="dxa"/>
            <w:vAlign w:val="bottom"/>
          </w:tcPr>
          <w:p>
            <w:pPr>
              <w:spacing w:after="0"/>
              <w:rPr>
                <w:sz w:val="16"/>
                <w:szCs w:val="16"/>
                <w:color w:val="auto"/>
              </w:rPr>
            </w:pPr>
          </w:p>
        </w:tc>
        <w:tc>
          <w:tcPr>
            <w:tcW w:w="20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2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7"/>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6"/>
                <w:szCs w:val="16"/>
                <w:color w:val="auto"/>
              </w:rPr>
            </w:pPr>
          </w:p>
        </w:tc>
        <w:tc>
          <w:tcPr>
            <w:tcW w:w="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64"/>
        </w:trPr>
        <w:tc>
          <w:tcPr>
            <w:tcW w:w="45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outstanding at beginning of year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outstanding at end of year</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information about the Option Awards vested and expected to vest during the contractual term, as well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Awards exercisable as of February 2, 2024:</w:t>
      </w:r>
    </w:p>
    <w:p>
      <w:pPr>
        <w:spacing w:after="0" w:line="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and contractual life amounts)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vMerge w:val="restart"/>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vMerge w:val="restart"/>
          </w:tcPr>
          <w:p>
            <w:pPr>
              <w:spacing w:after="0"/>
              <w:rPr>
                <w:sz w:val="20"/>
                <w:szCs w:val="2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vested and expected to vest</w:t>
            </w:r>
          </w:p>
        </w:tc>
        <w:tc>
          <w:tcPr>
            <w:tcW w:w="960" w:type="dxa"/>
            <w:vAlign w:val="bottom"/>
            <w:tcBorders>
              <w:bottom w:val="single" w:sz="8" w:color="auto"/>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exercisable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Option Awards was approximately $0.7 million as of February 2, 2024, which is expected to be recognized over a weighted average period of 1.8 years.</w:t>
      </w:r>
    </w:p>
    <w:p>
      <w:pPr>
        <w:spacing w:after="0" w:line="54"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Option Award granted during Fiscal 2022 was estimated at the grant date using the Black Scholes option pricing model with the following assumptions: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300" w:type="dxa"/>
            <w:vAlign w:val="bottom"/>
            <w:tcBorders>
              <w:right w:val="single" w:sz="8" w:color="0000EE"/>
            </w:tcBorders>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5"/>
        </w:trPr>
        <w:tc>
          <w:tcPr>
            <w:tcW w:w="62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1"/>
                <w:szCs w:val="21"/>
                <w:color w:val="auto"/>
                <w:vertAlign w:val="superscript"/>
              </w:rPr>
              <w:t>(1)</w:t>
            </w:r>
          </w:p>
        </w:tc>
        <w:tc>
          <w:tcPr>
            <w:tcW w:w="3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62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62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1"/>
                <w:szCs w:val="21"/>
                <w:color w:val="auto"/>
                <w:vertAlign w:val="superscript"/>
              </w:rPr>
              <w:t>(2)</w:t>
            </w:r>
          </w:p>
        </w:tc>
        <w:tc>
          <w:tcPr>
            <w:tcW w:w="3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w:t>
            </w:r>
          </w:p>
        </w:tc>
      </w:tr>
      <w:tr>
        <w:trPr>
          <w:trHeight w:val="252"/>
        </w:trPr>
        <w:tc>
          <w:tcPr>
            <w:tcW w:w="62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xml:space="preserve">Expected term (in years) </w:t>
            </w:r>
            <w:r>
              <w:rPr>
                <w:rFonts w:ascii="Times New Roman" w:cs="Times New Roman" w:eastAsia="Times New Roman" w:hAnsi="Times New Roman"/>
                <w:sz w:val="21"/>
                <w:szCs w:val="21"/>
                <w:color w:val="auto"/>
                <w:vertAlign w:val="superscript"/>
              </w:rPr>
              <w:t>(3)</w:t>
            </w:r>
          </w:p>
        </w:tc>
        <w:tc>
          <w:tcPr>
            <w:tcW w:w="322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2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7.44</w:t>
            </w:r>
          </w:p>
        </w:tc>
      </w:tr>
    </w:tbl>
    <w:p>
      <w:pPr>
        <w:spacing w:after="0" w:line="139"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Risk-free interest rate is based on the U.S. Treasury constant maturity interest rate with a term consistent with the expected term of the stock option award.</w:t>
      </w:r>
    </w:p>
    <w:p>
      <w:pPr>
        <w:spacing w:after="0" w:line="3" w:lineRule="exact"/>
        <w:rPr>
          <w:rFonts w:ascii="Times New Roman" w:cs="Times New Roman" w:eastAsia="Times New Roman" w:hAnsi="Times New Roman"/>
          <w:sz w:val="10"/>
          <w:szCs w:val="10"/>
          <w:color w:val="auto"/>
        </w:rPr>
      </w:pPr>
    </w:p>
    <w:p>
      <w:pPr>
        <w:ind w:left="500" w:hanging="492"/>
        <w:spacing w:after="0" w:line="221" w:lineRule="auto"/>
        <w:tabs>
          <w:tab w:leader="none" w:pos="500" w:val="left"/>
        </w:tabs>
        <w:numPr>
          <w:ilvl w:val="0"/>
          <w:numId w:val="31"/>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Expected volatility is estimated based on the historical volatility of the Company’s common stock with a term consistent with the expected term of the stock option award.</w:t>
      </w:r>
    </w:p>
    <w:p>
      <w:pPr>
        <w:jc w:val="both"/>
        <w:ind w:left="500" w:hanging="492"/>
        <w:spacing w:after="0" w:line="233" w:lineRule="auto"/>
        <w:tabs>
          <w:tab w:leader="none" w:pos="500" w:val="left"/>
        </w:tabs>
        <w:numPr>
          <w:ilvl w:val="0"/>
          <w:numId w:val="31"/>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Expected term (in years) of the stock option award represents the estimated period of time until exercise and is calculated using the simplified method. The simplified method was used to calculate the Expected term (in years) as the Company does not have sufficient historical experience exercise data to provide a reasonable basis upon which to estimate the expected term of the Option Award.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On June 28, 2022, the Company announced that its Board of Directors authorized the Company to repurchase up to $50.0 million of the Company’s common stock through February 2, 2024 (the “2022 Share Repurchase Program”). Under the 2022 Share Repurchase Program, the Company could repurchase its common stock through open market purchases, in privately negotiated transactions, or by other means in accordance with federal securities laws, including Rule 10b-18 of the Exchange Act. The amount and timing of these purchases was determined by the Company’s management depending upon market conditions and other factors and at times were made pursuant to a Rule 10b5-1 trading plan. Purchases of $20.3 million were made under the 2022 Share Repurchase Program which expired on February 2, 2024.</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share repurchases during Fiscal 2023 and Fiscal 2022:</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(Shares and $ in thousands except average per share cost)</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27, 2023</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Average per share cost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bl>
    <w:p>
      <w:pPr>
        <w:spacing w:after="0" w:line="238"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The Company retired all shares that were repurchased through the 2022 Share Repurchase Program through February 2, 2024. In accordance with the FASB ASC 505—Equity, the par value of the shares retired was charged against Common stock and the remaining purchase price was allocated between Additional paid-in capital and (Accumulated deficit) Retained earnings. The portion charged against Additional paid-in capital is determined based on the Additional paid-in capital per share amount recorded in the initial issuance of the shares with the remaining to (Accumulated deficit) Retained earnings. Shares purchased at a price less than that of initial issuance is charged only against Additional paid-in capital. For all shares retired during Fiscal 2023 and Fiscal 2022, no amount and $7.7 million, respectively, was charged to (Accumulated deficit) Retained earnings. In addition, the total cost of the broker commissions is charged directly to (Accumulated deficit) Retained earnings.</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On March 15, 2024, the Company announced that its Board of Directors authorized the Company to repurchase up to $25.0 million of the Company’s common stock through March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27,</w:t>
            </w:r>
          </w:p>
        </w:tc>
      </w:tr>
      <w:tr>
        <w:trPr>
          <w:trHeight w:val="187"/>
        </w:trPr>
        <w:tc>
          <w:tcPr>
            <w:tcW w:w="6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35,604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33,029</w:t>
            </w:r>
          </w:p>
        </w:tc>
      </w:t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8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28,449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18,125</w:t>
            </w: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Reserve for sales returns and allowances</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21,560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25,030</w:t>
            </w: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sales and other taxes</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8,795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9,780</w:t>
            </w: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4,314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7,484</w:t>
            </w: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1,994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4,456</w:t>
            </w:r>
          </w:p>
        </w:tc>
      </w:tr>
      <w:tr>
        <w:trPr>
          <w:trHeight w:val="257"/>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8,256</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8,852</w:t>
            </w:r>
          </w:p>
        </w:tc>
      </w:tr>
      <w:tr>
        <w:trPr>
          <w:trHeight w:val="2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108,972</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106,756</w:t>
            </w: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LANDS’ END JAPAN CLOSURE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In July 2022, the Board of Directors approved a plan to cease operations of Lands’ End Japan KK, a subsidiary of Lands’ End, Inc. (“Lands’ End Japan”) by the end of Fiscal 2022. Lands’ End Japan comprises the Japan eCommerce operating segment. For a discussion of this operating segment,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closing and subsequent disposal of the assets does not represent a strategic shift with a major effect on the consolidated financial condition. Accordingly, the closing of Lands’ End Japan was not presented in the Consolidated Financial Statements as discontinued operations.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August 2022, the Company notified all employees of the closure and commenced closing activities. Liquidation sales commenced in the month of September 2022 through the end of Fiscal 2022. The dissolution of Lands’ End Japan was authorized and approved on January 31, 2023. The Company recorded closing costs for employee severance and benefit costs, early termination and restoration costs of lease facilities and contract cancellation and other costs. The final liquidation occurred in First Quarter 2024.</w:t>
      </w:r>
    </w:p>
    <w:p>
      <w:pPr>
        <w:spacing w:after="0" w:line="72"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closing costs of Lands’ End Japan recognized in Other operating expense, net in the Consolidated Statement of Operations for Fiscal 2023 and Fiscal 2022.</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7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200" w:type="dxa"/>
            <w:vAlign w:val="bottom"/>
          </w:tcPr>
          <w:p>
            <w:pPr>
              <w:spacing w:after="0"/>
              <w:rPr>
                <w:sz w:val="16"/>
                <w:szCs w:val="16"/>
                <w:color w:val="auto"/>
              </w:rPr>
            </w:pP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27, 2023</w:t>
            </w:r>
          </w:p>
        </w:tc>
      </w:tr>
      <w:tr>
        <w:trPr>
          <w:trHeight w:val="232"/>
        </w:trPr>
        <w:tc>
          <w:tcPr>
            <w:tcW w:w="5300" w:type="dxa"/>
            <w:vAlign w:val="bottom"/>
          </w:tcPr>
          <w:p>
            <w:pPr>
              <w:spacing w:after="0" w:line="232" w:lineRule="exact"/>
              <w:rPr>
                <w:sz w:val="20"/>
                <w:szCs w:val="20"/>
                <w:color w:val="auto"/>
              </w:rPr>
            </w:pPr>
            <w:r>
              <w:rPr>
                <w:rFonts w:ascii="Times New Roman" w:cs="Times New Roman" w:eastAsia="Times New Roman" w:hAnsi="Times New Roman"/>
                <w:sz w:val="18"/>
                <w:szCs w:val="18"/>
                <w:color w:val="auto"/>
              </w:rPr>
              <w:t xml:space="preserve">Employee severance and benefit costs </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Early termination and restoration costs of leased facilities</w:t>
            </w:r>
          </w:p>
        </w:tc>
        <w:tc>
          <w:tcPr>
            <w:tcW w:w="2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Contract cancellation and other costs</w:t>
            </w: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closing costs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For fiscal year ending January 27, 2023 employee severance and benefit costs are approximately $1.0 million lower than actual payments due to the reversal of a previously recorded compensation-related accrual.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accrued closing cost activity related to Lands’ End Japan included in Accrued expenses and other current liabilities in the Consolidated Balance Sheets: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40" w:type="dxa"/>
            <w:vAlign w:val="bottom"/>
          </w:tcPr>
          <w:p>
            <w:pPr>
              <w:spacing w:after="0"/>
              <w:rPr>
                <w:sz w:val="18"/>
                <w:szCs w:val="18"/>
                <w:color w:val="auto"/>
              </w:rPr>
            </w:pPr>
          </w:p>
        </w:tc>
        <w:tc>
          <w:tcPr>
            <w:tcW w:w="12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and Benefit</w:t>
            </w:r>
          </w:p>
        </w:tc>
        <w:tc>
          <w:tcPr>
            <w:tcW w:w="140" w:type="dxa"/>
            <w:vAlign w:val="bottom"/>
          </w:tcPr>
          <w:p>
            <w:pPr>
              <w:spacing w:after="0"/>
              <w:rPr>
                <w:sz w:val="18"/>
                <w:szCs w:val="18"/>
                <w:color w:val="auto"/>
              </w:rPr>
            </w:pPr>
          </w:p>
        </w:tc>
        <w:tc>
          <w:tcPr>
            <w:tcW w:w="12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2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3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40" w:type="dxa"/>
            <w:vAlign w:val="bottom"/>
          </w:tcPr>
          <w:p>
            <w:pPr>
              <w:spacing w:after="0"/>
              <w:rPr>
                <w:sz w:val="21"/>
                <w:szCs w:val="21"/>
                <w:color w:val="auto"/>
              </w:rPr>
            </w:pPr>
          </w:p>
        </w:tc>
        <w:tc>
          <w:tcPr>
            <w:tcW w:w="12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Closing Costs</w:t>
            </w:r>
          </w:p>
        </w:tc>
        <w:tc>
          <w:tcPr>
            <w:tcW w:w="220" w:type="dxa"/>
            <w:vAlign w:val="bottom"/>
          </w:tcPr>
          <w:p>
            <w:pPr>
              <w:spacing w:after="0"/>
              <w:rPr>
                <w:sz w:val="21"/>
                <w:szCs w:val="21"/>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8"/>
        </w:trPr>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28, 2022</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costs payable in cash</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60" w:type="dxa"/>
            <w:vAlign w:val="bottom"/>
          </w:tcPr>
          <w:p>
            <w:pPr>
              <w:spacing w:after="0"/>
              <w:rPr>
                <w:sz w:val="20"/>
                <w:szCs w:val="20"/>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(2,076 )</w:t>
            </w:r>
          </w:p>
        </w:tc>
        <w:tc>
          <w:tcPr>
            <w:tcW w:w="140" w:type="dxa"/>
            <w:vAlign w:val="bottom"/>
          </w:tcPr>
          <w:p>
            <w:pPr>
              <w:spacing w:after="0"/>
              <w:rPr>
                <w:sz w:val="21"/>
                <w:szCs w:val="21"/>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(381 )</w:t>
            </w:r>
          </w:p>
        </w:tc>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(379 )</w:t>
            </w:r>
          </w:p>
        </w:tc>
        <w:tc>
          <w:tcPr>
            <w:tcW w:w="2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(2,836 )</w:t>
            </w:r>
          </w:p>
        </w:tc>
      </w:tr>
      <w:tr>
        <w:trPr>
          <w:trHeight w:val="25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tcPr>
          <w:p>
            <w:pPr>
              <w:spacing w:after="0"/>
              <w:rPr>
                <w:sz w:val="21"/>
                <w:szCs w:val="21"/>
                <w:color w:val="auto"/>
              </w:rPr>
            </w:pPr>
          </w:p>
        </w:tc>
      </w:t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27, 2023</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tcPr>
          <w:p>
            <w:pPr>
              <w:spacing w:after="0"/>
              <w:rPr>
                <w:sz w:val="20"/>
                <w:szCs w:val="20"/>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costs payable in cash</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tcPr>
          <w:p>
            <w:pPr>
              <w:spacing w:after="0"/>
              <w:rPr>
                <w:sz w:val="20"/>
                <w:szCs w:val="20"/>
                <w:color w:val="auto"/>
              </w:rPr>
            </w:pPr>
          </w:p>
        </w:tc>
      </w:t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(1,050 )</w:t>
            </w:r>
          </w:p>
        </w:tc>
        <w:tc>
          <w:tcPr>
            <w:tcW w:w="140" w:type="dxa"/>
            <w:vAlign w:val="bottom"/>
          </w:tcPr>
          <w:p>
            <w:pPr>
              <w:spacing w:after="0"/>
              <w:rPr>
                <w:sz w:val="20"/>
                <w:szCs w:val="20"/>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(438 )</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(260 )</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(1,748 )</w:t>
            </w:r>
          </w:p>
        </w:tc>
      </w:tr>
      <w:tr>
        <w:trPr>
          <w:trHeight w:val="25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21"/>
                <w:szCs w:val="21"/>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(18 )</w:t>
            </w:r>
          </w:p>
        </w:tc>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2, 2024</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 OF FINANCIAL ASSETS AND LIABILITIES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is reflected on the Consolidated Balance Sheets at fair value based on Level 1 inputs. Cash and cash equivalents and restricted cash amounts are valued based upon statements received from financial institutions. The fair value of restricted cash was $2.0 million and $1.8 million as of February 2, 2024 and January 27, 2023, respectively.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Carrying amounts and fair values of long-term debt, including current portion, in the Consolidated Balance Sheets are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January 27, 2023</w:t>
            </w:r>
          </w:p>
        </w:tc>
      </w:tr>
      <w:tr>
        <w:trPr>
          <w:trHeight w:val="131"/>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20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24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8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4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260,000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258,139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244,063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241,728</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Company’s valuation of long-term debt, including current portion, at fair value is considered a Level 3 instrument under the fair value hierarchy. The Company’s valuation techniques include the Black-Derman-Toy (“BDT”) model as well as market inputs from management. The BDT modeling approach is particularly relevant given the Current Term Loan Facility’s features, including the optional redemption provision. There were no nonfinancial assets or nonfinancial liabilities recognized at fair value on a nonrecurring basis as of February 2, 2024 and January 27,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INDEFINITE-LIVED INTANGIBLE ASSET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Company’s intangible assets, consisting of a goodwill and trade name, were originally valued in connection with a business combination accounted for under the purchase accounting method. Goodwill represents the excess of the purchase price over the fair value of the net assets acquired.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Goodwill:</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52"/>
        </w:trPr>
        <w:tc>
          <w:tcPr>
            <w:tcW w:w="6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21"/>
                <w:szCs w:val="21"/>
                <w:color w:val="auto"/>
              </w:rPr>
            </w:pPr>
          </w:p>
        </w:tc>
        <w:tc>
          <w:tcPr>
            <w:tcW w:w="21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January 28, 2022</w:t>
            </w:r>
          </w:p>
        </w:tc>
        <w:tc>
          <w:tcPr>
            <w:tcW w:w="5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amount</w:t>
            </w: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60" w:type="dxa"/>
            <w:vAlign w:val="bottom"/>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2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Carrying Value</w:t>
            </w:r>
          </w:p>
        </w:tc>
        <w:tc>
          <w:tcPr>
            <w:tcW w:w="5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60" w:type="dxa"/>
            <w:vAlign w:val="bottom"/>
          </w:tcPr>
          <w:p>
            <w:pPr>
              <w:spacing w:after="0"/>
              <w:rPr>
                <w:sz w:val="19"/>
                <w:szCs w:val="19"/>
                <w:color w:val="auto"/>
              </w:rPr>
            </w:pPr>
          </w:p>
        </w:tc>
      </w:tr>
      <w:tr>
        <w:trPr>
          <w:trHeight w:val="24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booked in Fiscal 2022</w:t>
            </w:r>
          </w:p>
        </w:tc>
        <w:tc>
          <w:tcPr>
            <w:tcW w:w="520" w:type="dxa"/>
            <w:vAlign w:val="bottom"/>
          </w:tcPr>
          <w:p>
            <w:pPr>
              <w:spacing w:after="0"/>
              <w:rPr>
                <w:sz w:val="21"/>
                <w:szCs w:val="21"/>
                <w:color w:val="auto"/>
              </w:rPr>
            </w:pPr>
          </w:p>
        </w:tc>
        <w:tc>
          <w:tcPr>
            <w:tcW w:w="2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January 27, 2023</w:t>
            </w:r>
          </w:p>
        </w:tc>
        <w:tc>
          <w:tcPr>
            <w:tcW w:w="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amount</w:t>
            </w:r>
          </w:p>
        </w:tc>
        <w:tc>
          <w:tcPr>
            <w:tcW w:w="5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60" w:type="dxa"/>
            <w:vAlign w:val="bottom"/>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2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Carrying Value</w:t>
            </w:r>
          </w:p>
        </w:tc>
        <w:tc>
          <w:tcPr>
            <w:tcW w:w="5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60" w:type="dxa"/>
            <w:vAlign w:val="bottom"/>
          </w:tcPr>
          <w:p>
            <w:pPr>
              <w:spacing w:after="0"/>
              <w:rPr>
                <w:sz w:val="19"/>
                <w:szCs w:val="19"/>
                <w:color w:val="auto"/>
              </w:rPr>
            </w:pPr>
          </w:p>
        </w:tc>
      </w:tr>
      <w:tr>
        <w:trPr>
          <w:trHeight w:val="24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booked in Fiscal 2023</w:t>
            </w:r>
          </w:p>
        </w:tc>
        <w:tc>
          <w:tcPr>
            <w:tcW w:w="5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60" w:type="dxa"/>
            <w:vAlign w:val="bottom"/>
          </w:tcPr>
          <w:p>
            <w:pPr>
              <w:spacing w:after="0"/>
              <w:rPr>
                <w:sz w:val="21"/>
                <w:szCs w:val="21"/>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February 2, 2024</w:t>
            </w:r>
          </w:p>
        </w:tc>
        <w:tc>
          <w:tcPr>
            <w:tcW w:w="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amount</w:t>
            </w:r>
          </w:p>
        </w:tc>
        <w:tc>
          <w:tcPr>
            <w:tcW w:w="5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60" w:type="dxa"/>
            <w:vAlign w:val="bottom"/>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2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(110.0 )</w:t>
            </w:r>
          </w:p>
        </w:tc>
      </w:tr>
      <w:tr>
        <w:trPr>
          <w:trHeight w:val="232"/>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Carrying Value</w:t>
            </w: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value of Intangible asset, net was $257.0 million as of February 2, 2024, January 27, 2023 and January 28, 2022.</w:t>
      </w:r>
    </w:p>
    <w:p>
      <w:pPr>
        <w:spacing w:after="0" w:line="115"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ASC 350, Intangibles - Goodwill and Other, </w:t>
      </w:r>
      <w:r>
        <w:rPr>
          <w:rFonts w:ascii="Times New Roman" w:cs="Times New Roman" w:eastAsia="Times New Roman" w:hAnsi="Times New Roman"/>
          <w:sz w:val="18"/>
          <w:szCs w:val="18"/>
          <w:color w:val="auto"/>
        </w:rPr>
        <w:t>requires companies to test goodwill and indefinite-lived intangible assets for impairment annually,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often if an event or circumstance indicates that the carrying amount may not be recoverable. In connection with the preparation of the financial statements included in the Company’s Third Quarter 2023 Form 10-Q, the Company considered the decline in the Company’s stock price and market capitalization, as well as current market and macroeconomic conditions, to be a triggering event for the U.S. eCommerce and Outfitters reporting units and therefore completed a test for impairment of goodwill for these reporting units as of October 27, 2023. The Company tested goodwill for impairment using a one-step quantitative test. The quantitative test compares the reporting unit’s fair value to its carrying value. An impairment is recorded for any excess carrying value above the reporting unit’s fair value, not to exceed the amount of goodwill. The Company estimates fair value of its reporting units using a discounted cash flow model, commonly referred to as the income approach. The income approach uses a reporting unit’s projection of estimated operating results and cash flows that is discounted using a weighted-average cost of capital that reflects current market conditions appropriate to the Company’s reporting unit. The discounted cash flow model uses management’s best estimates of economic and market conditions over the projected period using the best information available, including growth rates in revenues, costs and estimates of future expected changes in operating margins and cash expenditures. Other significant estimates and assumptions include terminal value growth rates, weighted average cost of capital and changes in future working capital requirements.</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impairment test resulted in full impairment of $70.4 million and $36.3 million of goodwill allocated to the Company’s U.S. eCommerce and Outfitters reporting units, respectively.</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in the Company’s Third Quarter 2023 Form 10-Q, the Company considered the decline in the Company’s stock price and market capitalization, as well as current market and macroeconomic conditions, to be a triggering event for the Lands’ End trade name. The fair value of the trade name indefinite-lived intangible asset was estimated using the relief from royalty method and the testing resulted in no impairment to the Lands’ End trade name.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impairment of the trade name during any period presented.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income (loss) before income taxes in the United States and in foreign jurisdictions is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Fiscal 2021</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(126,745 )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52,963</w:t>
            </w:r>
          </w:p>
        </w:tc>
      </w:tr>
      <w:tr>
        <w:trPr>
          <w:trHeight w:val="25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(5,072 )</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(19,325 )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(6,994 )</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(131,817 )</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(14,679 )</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45,969</w:t>
            </w: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Certain foreign operations are branches of Lands’ End and are subject to U.S. as well as foreign income tax. The pretax income (loss) by location and the analysis of the income tax provision by taxing jurisdiction are not directly related.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12,215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Foreign</w:t>
            </w:r>
          </w:p>
        </w:tc>
        <w:tc>
          <w:tcPr>
            <w:tcW w:w="1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(benefit) provision</w:t>
            </w:r>
          </w:p>
        </w:tc>
        <w:tc>
          <w:tcPr>
            <w:tcW w:w="1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(1,133 )</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94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Current: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Federal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(3,092 )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(3,928 )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11,370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State</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1,627</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Foreign</w:t>
            </w:r>
          </w:p>
        </w:tc>
        <w:tc>
          <w:tcPr>
            <w:tcW w:w="1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Total current</w:t>
            </w:r>
          </w:p>
        </w:tc>
        <w:tc>
          <w:tcPr>
            <w:tcW w:w="1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(2,946 )</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(3,076 )</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13,382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Deferred:</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Federal</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State</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644</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Foreign</w:t>
            </w:r>
          </w:p>
        </w:tc>
        <w:tc>
          <w:tcPr>
            <w:tcW w:w="1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deferred</w:t>
            </w:r>
          </w:p>
        </w:tc>
        <w:tc>
          <w:tcPr>
            <w:tcW w:w="1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(benefit) provision</w:t>
            </w:r>
          </w:p>
        </w:tc>
        <w:tc>
          <w:tcPr>
            <w:tcW w:w="1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(1,133 )</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84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effective income tax rate is as follows: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Tax at statutory federal tax rate</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38"/>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Foreign differential</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1"/>
                <w:szCs w:val="21"/>
                <w:color w:val="auto"/>
              </w:rPr>
            </w:pPr>
          </w:p>
        </w:tc>
        <w:tc>
          <w:tcPr>
            <w:tcW w:w="2120" w:type="dxa"/>
            <w:vAlign w:val="bottom"/>
            <w:gridSpan w:val="2"/>
          </w:tcPr>
          <w:p>
            <w:pPr>
              <w:jc w:val="right"/>
              <w:ind w:right="896"/>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Permanent differences</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Uncertain tax benefits</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Change in foreign valuation allowance</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Goodwill impairment</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tcPr>
          <w:p>
            <w:pPr>
              <w:spacing w:after="0"/>
              <w:rPr>
                <w:sz w:val="21"/>
                <w:szCs w:val="21"/>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2120" w:type="dxa"/>
            <w:vAlign w:val="bottom"/>
            <w:gridSpan w:val="2"/>
          </w:tcPr>
          <w:p>
            <w:pPr>
              <w:jc w:val="right"/>
              <w:ind w:right="95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 net</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1"/>
                <w:szCs w:val="21"/>
                <w:color w:val="auto"/>
              </w:rPr>
            </w:pPr>
          </w:p>
        </w:tc>
        <w:tc>
          <w:tcPr>
            <w:tcW w:w="2120" w:type="dxa"/>
            <w:vAlign w:val="bottom"/>
            <w:gridSpan w:val="2"/>
          </w:tcPr>
          <w:p>
            <w:pPr>
              <w:jc w:val="right"/>
              <w:ind w:right="896"/>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gridSpan w:val="3"/>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gridSpan w:val="3"/>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120" w:type="dxa"/>
            <w:vAlign w:val="bottom"/>
            <w:vMerge w:val="restart"/>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line="20" w:lineRule="exact"/>
              <w:rPr>
                <w:sz w:val="1"/>
                <w:szCs w:val="1"/>
                <w:color w:val="auto"/>
              </w:rPr>
            </w:pPr>
          </w:p>
        </w:tc>
      </w:tr>
      <w:tr>
        <w:trPr>
          <w:trHeight w:val="237"/>
        </w:trPr>
        <w:tc>
          <w:tcPr>
            <w:tcW w:w="494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27.4</w:t>
            </w: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8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9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9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assets and liabilities consisted of the following:</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1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87"/>
        </w:trPr>
        <w:tc>
          <w:tcPr>
            <w:tcW w:w="52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820" w:type="dxa"/>
            <w:vAlign w:val="bottom"/>
            <w:gridSpan w:val="2"/>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accruals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interest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returns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CTA investment in foreign subsidiaries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(16,292 )</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(11,207 )</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(6,009 )</w:t>
            </w:r>
          </w:p>
        </w:tc>
        <w:tc>
          <w:tcPr>
            <w:tcW w:w="0" w:type="dxa"/>
            <w:vAlign w:val="bottom"/>
          </w:tcPr>
          <w:p>
            <w:pPr>
              <w:spacing w:after="0"/>
              <w:rPr>
                <w:sz w:val="1"/>
                <w:szCs w:val="1"/>
                <w:color w:val="auto"/>
              </w:rPr>
            </w:pPr>
          </w:p>
        </w:tc>
      </w:tr>
      <w:tr>
        <w:trPr>
          <w:trHeight w:val="237"/>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45,832</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49,964</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5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61,785</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61,715</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LIFO reserve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Catalog advertising</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45,953</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As of February 2, 2024, the Company had $125.2 million of federal and state net operating loss (“NOL”) carryforwards (generating a $14.4 million deferred tax asset) available to offset future taxable income. The federal NOL Carryforward has an indefinite life. The state NOL carryforwards generally expire between 2024 and 2043 with certain state NOLs generated after 2017 having indefinite carryforward. The Company’s foreign subsidiaries had $41.9 million of NOL carryforwards (generating a $12.1 million deferred tax asset) available to offset future taxable income. These foreign NOLs can be carried forward indefinitely, however, a valuation allowance was established since the future utilization of these NOLs is uncertain.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(“UTBs”) is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2021</w:t>
            </w:r>
          </w:p>
        </w:tc>
      </w:tr>
      <w:tr>
        <w:trPr>
          <w:trHeight w:val="22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UTBs balance at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1,012</w:t>
            </w:r>
          </w:p>
        </w:tc>
      </w:tr>
      <w:tr>
        <w:trPr>
          <w:trHeight w:val="22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related to the prior periods - gross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(decreases) increases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539</w:t>
            </w:r>
          </w:p>
        </w:tc>
      </w:tr>
      <w:tr>
        <w:trPr>
          <w:trHeight w:val="25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UTBs 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1,477</w:t>
            </w: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As of February 2, 2024, the Company had gross UTBs of $1.1 million. Of this amount, $1.0 million would, if recognized, impact its effective tax rate. The Company does not expect that UTBs will fluctuate significantly in the next 12 months for tax audit settlements and the expiration of the statute of limitations for certain jurisdictions. Tax years 2020 through 2023 remain open for examination by the Internal Revenue Service as well as various state and foreign jurisdictions.</w:t>
      </w:r>
    </w:p>
    <w:p>
      <w:pPr>
        <w:spacing w:after="0" w:line="72"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Company classifies interest expense and penalties related to UTBs and interest income on tax overpayments as components of income tax expense. As of February 2, 2024, the total amount of interest expense and penalties recognized on the balance sheet was $0.6 million ($0.5 million net of federal benefit). As of January 27, 2023, the total amount of interest and penalties recognized on the balance sheet was $0.6 million ($0.5 million net of federal</w:t>
      </w:r>
    </w:p>
    <w:p>
      <w:pPr>
        <w:sectPr>
          <w:pgSz w:w="11900" w:h="16838" w:orient="portrait"/>
          <w:cols w:equalWidth="0" w:num="1">
            <w:col w:w="11240"/>
          </w:cols>
          <w:pgMar w:left="320" w:top="769"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benefit). The total amount of net interest expense recognized in the Consolidated Statements of Operations was insignificant for all periods presented. The Company files income tax returns in both the United States and various foreign jurisdictions.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such pending claims, proceedings and investigations with certainty, management is of the opinion that their ultimate resolution should not have a material adverse effect on results of operations, cash flows or financial position taken as a whole.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2023, the Company’s operating segments consisted of: U.S. eCommerce, Europe eCommerce, Outfitters, Third Party and Retail.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Fiscal 2022, the Company’s operating segments included Japan eCommerce.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Company determined that each of the operating segments have similar economic and other qualitative characteristics, thus the results of the operating segments are aggregated into one external reportable segment.</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End identifies five separate distribution channels for revenue reporting purposes:</w:t>
      </w:r>
    </w:p>
    <w:p>
      <w:pPr>
        <w:spacing w:after="0" w:line="155" w:lineRule="exact"/>
        <w:rPr>
          <w:sz w:val="20"/>
          <w:szCs w:val="20"/>
          <w:color w:val="auto"/>
        </w:rPr>
      </w:pPr>
    </w:p>
    <w:p>
      <w:pPr>
        <w:ind w:left="1000" w:hanging="49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the Company’s eCommerce website.</w:t>
      </w:r>
    </w:p>
    <w:p>
      <w:pPr>
        <w:spacing w:after="0" w:line="117" w:lineRule="exact"/>
        <w:rPr>
          <w:rFonts w:ascii="Times New Roman" w:cs="Times New Roman" w:eastAsia="Times New Roman" w:hAnsi="Times New Roman"/>
          <w:sz w:val="18"/>
          <w:szCs w:val="18"/>
          <w:color w:val="auto"/>
        </w:rPr>
      </w:pPr>
    </w:p>
    <w:p>
      <w:pPr>
        <w:ind w:left="1000" w:right="20" w:hanging="498"/>
        <w:spacing w:after="0" w:line="284"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products primarily to consumers located in Europe and through eCommerce international websites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the same products as U.S. eCommerce but direct to consumers through third-party marketplace websites and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wholesale relationships.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is presented by distribution channel in the following tables: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2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9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4"/>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U.S. eCommerce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930,314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955,752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1,027,138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62.8%</w:t>
            </w:r>
          </w:p>
        </w:tc>
      </w:tr>
      <w:tr>
        <w:trPr>
          <w:trHeight w:val="26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112,855</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166,627</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220,997</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1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269,943</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265,898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254,191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w:t>
            </w:r>
          </w:p>
        </w:tc>
      </w:tr>
      <w:tr>
        <w:trPr>
          <w:trHeight w:val="229"/>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1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111,826</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118,996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86,517</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w:t>
            </w:r>
          </w:p>
        </w:tc>
      </w:tr>
      <w:tr>
        <w:trPr>
          <w:trHeight w:val="256"/>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Retail</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47,570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48,156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47,781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1,472,508</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1,555,429</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1,636,624</w:t>
            </w:r>
          </w:p>
        </w:tc>
        <w:tc>
          <w:tcPr>
            <w:tcW w:w="920" w:type="dxa"/>
            <w:vAlign w:val="bottom"/>
          </w:tcPr>
          <w:p>
            <w:pPr>
              <w:spacing w:after="0"/>
              <w:rPr>
                <w:sz w:val="19"/>
                <w:szCs w:val="19"/>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57"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Fiscal 2022 and Fiscal 2021 includes Net revenue of $32.7 million and $43.3 million, respectively, from the Japan eCommerce distribution channel. See Note 8, </w:t>
      </w:r>
      <w:r>
        <w:rPr>
          <w:rFonts w:ascii="Times New Roman" w:cs="Times New Roman" w:eastAsia="Times New Roman" w:hAnsi="Times New Roman"/>
          <w:sz w:val="13"/>
          <w:szCs w:val="13"/>
          <w:i w:val="1"/>
          <w:iCs w:val="1"/>
          <w:color w:val="auto"/>
        </w:rPr>
        <w:t>Lands’ End Japan Closure</w:t>
      </w: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The geographical allocation of Net revenue is based upon where the product is shipped. The following presents summarized geographical information:</w:t>
      </w:r>
    </w:p>
    <w:p>
      <w:pPr>
        <w:spacing w:after="0" w:line="70"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32"/>
        </w:trPr>
        <w:tc>
          <w:tcPr>
            <w:tcW w:w="2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204"/>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1,342,366</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1,368,518</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1,393,402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85.1%</w:t>
            </w:r>
          </w:p>
        </w:tc>
      </w:tr>
      <w:tr>
        <w:trPr>
          <w:trHeight w:val="221"/>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114,778</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135,878</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179,302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w:t>
            </w:r>
          </w:p>
        </w:tc>
      </w:tr>
      <w:tr>
        <w:trPr>
          <w:trHeight w:val="257"/>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Asia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569</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33,451</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44,383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w:t>
            </w:r>
          </w:p>
        </w:tc>
      </w:tr>
      <w:tr>
        <w:trPr>
          <w:trHeight w:val="22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14,795</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17,582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19,537</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2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1,472,508</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1,555,429</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1,636,624</w:t>
            </w:r>
          </w:p>
        </w:tc>
        <w:tc>
          <w:tcPr>
            <w:tcW w:w="900" w:type="dxa"/>
            <w:vAlign w:val="bottom"/>
          </w:tcPr>
          <w:p>
            <w:pPr>
              <w:spacing w:after="0"/>
              <w:rPr>
                <w:sz w:val="19"/>
                <w:szCs w:val="19"/>
                <w:color w:val="auto"/>
              </w:rPr>
            </w:pPr>
          </w:p>
        </w:tc>
      </w:tr>
      <w:tr>
        <w:trPr>
          <w:trHeight w:val="20"/>
        </w:trPr>
        <w:tc>
          <w:tcPr>
            <w:tcW w:w="2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57"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Fiscal 2022 and Fiscal 2021 includes Net revenue of $32.7 million and $43.3 million, respectively, from the Japan eCommerce distribution channel. See Note 8, </w:t>
      </w:r>
      <w:r>
        <w:rPr>
          <w:rFonts w:ascii="Times New Roman" w:cs="Times New Roman" w:eastAsia="Times New Roman" w:hAnsi="Times New Roman"/>
          <w:sz w:val="13"/>
          <w:szCs w:val="13"/>
          <w:i w:val="1"/>
          <w:iCs w:val="1"/>
          <w:color w:val="auto"/>
        </w:rPr>
        <w:t>Lands’ End Japan Closure</w:t>
      </w:r>
      <w:r>
        <w:rPr>
          <w:rFonts w:ascii="Times New Roman" w:cs="Times New Roman" w:eastAsia="Times New Roman" w:hAnsi="Times New Roman"/>
          <w:sz w:val="13"/>
          <w:szCs w:val="13"/>
          <w:color w:val="auto"/>
        </w:rPr>
        <w:t>.</w:t>
      </w:r>
    </w:p>
    <w:p>
      <w:pPr>
        <w:sectPr>
          <w:pgSz w:w="11900" w:h="16838" w:orient="portrait"/>
          <w:cols w:equalWidth="0" w:num="1">
            <w:col w:w="11240"/>
          </w:cols>
          <w:pgMar w:left="320" w:top="769" w:right="339" w:bottom="1440" w:gutter="0" w:footer="0" w:header="0"/>
        </w:sectPr>
      </w:pP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than the United States and Europe, no geographic region represented more than 10% of Net revenue.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by geographical location are as follows: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4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Fiscal 2022</w:t>
            </w:r>
          </w:p>
        </w:tc>
      </w:tr>
      <w:tr>
        <w:trPr>
          <w:trHeight w:val="204"/>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111,254</w:t>
            </w:r>
          </w:p>
        </w:tc>
        <w:tc>
          <w:tcPr>
            <w:tcW w:w="2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120,311</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7,051</w:t>
            </w: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Total long-lived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118,033</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127,638</w:t>
            </w: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than the United States, no geographic region is greater than 10% of total Property and equipment, net.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16"/>
          <w:szCs w:val="16"/>
          <w:b w:val="1"/>
          <w:bCs w:val="1"/>
          <w:color w:val="auto"/>
        </w:rPr>
        <w:t>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8826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41" w:lineRule="exact"/>
        <w:rPr>
          <w:sz w:val="20"/>
          <w:szCs w:val="20"/>
          <w:color w:val="auto"/>
        </w:rPr>
      </w:pPr>
    </w:p>
    <w:p>
      <w:pPr>
        <w:ind w:left="764" w:hanging="764"/>
        <w:spacing w:after="0"/>
        <w:tabs>
          <w:tab w:leader="none" w:pos="76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121,259</w:t>
      </w:r>
    </w:p>
    <w:p>
      <w:pPr>
        <w:spacing w:after="0" w:line="45" w:lineRule="exact"/>
        <w:rPr>
          <w:rFonts w:ascii="Times New Roman" w:cs="Times New Roman" w:eastAsia="Times New Roman" w:hAnsi="Times New Roman"/>
          <w:sz w:val="16"/>
          <w:szCs w:val="16"/>
          <w:color w:val="auto"/>
        </w:rPr>
      </w:pPr>
    </w:p>
    <w:p>
      <w:pPr>
        <w:ind w:left="92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7,879</w:t>
      </w:r>
    </w:p>
    <w:p>
      <w:pPr>
        <w:spacing w:after="0" w:line="45" w:lineRule="exact"/>
        <w:rPr>
          <w:rFonts w:ascii="Times New Roman" w:cs="Times New Roman" w:eastAsia="Times New Roman" w:hAnsi="Times New Roman"/>
          <w:sz w:val="16"/>
          <w:szCs w:val="16"/>
          <w:color w:val="auto"/>
        </w:rPr>
      </w:pPr>
    </w:p>
    <w:p>
      <w:pPr>
        <w:ind w:left="104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8826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39" w:lineRule="exact"/>
        <w:rPr>
          <w:sz w:val="20"/>
          <w:szCs w:val="20"/>
          <w:color w:val="auto"/>
        </w:rPr>
      </w:pPr>
    </w:p>
    <w:p>
      <w:pPr>
        <w:ind w:left="764" w:hanging="764"/>
        <w:spacing w:after="0"/>
        <w:tabs>
          <w:tab w:leader="none" w:pos="76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129,791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8826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8826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ectPr>
          <w:pgSz w:w="11900" w:h="16838" w:orient="portrait"/>
          <w:cols w:equalWidth="0" w:num="2">
            <w:col w:w="8440" w:space="296"/>
            <w:col w:w="2504"/>
          </w:cols>
          <w:pgMar w:left="320" w:top="769"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the information required to be disclosed by the Company in the reports that it files or submits under the Securities Exchange Act of 1934 is recorded, processed, summarized and reported within the time periods specified in the rules and forms of the Securities and Exchange Commission and that such information is accumulated and communicated to the officers who certify the Company’s financial reports and to other members of senior management and the Board of Directors as appropriate to allow timely decisions regarding required disclosure.</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Based on their evaluation, the Chief Executive Officer and the Chief Financial Officer have concluded that our disclosure controls and procedures (as defined in Rule 13a-15(e) and 15-d-15(e) under the Securities Exchange Act of 1934, as amended) are effective as of February 2,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Our internal control over financial reporting is a process designed under the supervision of the Chief Executive Officer and the Chief Financial Officer to provide reasonable assurance regarding the reliability of our financial reporting and the preparation of financial statements for external purposes in accordance with generally accepted accounting principles. Because of its inherent limitations, internal control over financial reporting is not intended to provide absolute assurance that a misstatement of our financial statements would be prevented or detected on a timely basis.</w:t>
      </w:r>
    </w:p>
    <w:p>
      <w:pPr>
        <w:spacing w:after="0" w:line="7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our Chief Financial Officer conducted an evaluation of the design and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our management concluded that our internal control over financial reporting was effective as of February 2, 2024.</w:t>
      </w:r>
    </w:p>
    <w:p>
      <w:pPr>
        <w:spacing w:after="0" w:line="72" w:lineRule="exact"/>
        <w:rPr>
          <w:sz w:val="20"/>
          <w:szCs w:val="20"/>
          <w:color w:val="auto"/>
        </w:rPr>
      </w:pPr>
    </w:p>
    <w:p>
      <w:pPr>
        <w:ind w:right="980" w:firstLine="499"/>
        <w:spacing w:after="0" w:line="375" w:lineRule="auto"/>
        <w:rPr>
          <w:sz w:val="20"/>
          <w:szCs w:val="20"/>
          <w:color w:val="auto"/>
        </w:rPr>
      </w:pPr>
      <w:r>
        <w:rPr>
          <w:rFonts w:ascii="Times New Roman" w:cs="Times New Roman" w:eastAsia="Times New Roman" w:hAnsi="Times New Roman"/>
          <w:sz w:val="18"/>
          <w:szCs w:val="18"/>
          <w:color w:val="auto"/>
        </w:rPr>
        <w:t xml:space="preserve">Item 9A includes the audit report of BDO USA, P.C. on the Company’s internal control over financial reporting as of February 2, 2024. </w:t>
      </w: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Regulations under the Exchange Act require public companies including our Company, to evaluate any change in our “internal control over financial reporting” as such term is defined in Rule 13a-15(f) and Rule 15d-15(f) of the Exchange Act. There have not been any changes in our internal control over financial reporting that occurred during the fourth fiscal quarter ended February 2, 2024 that have materially impacted, or are reasonably likely to materially affect, our internal control over financial reporting.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 End,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Dodgeville, Wisconsin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audited Lands’ End, Inc.’s (the “Company’s”) internal control over financial reporting as of February 2, 2024,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February 2, 2024, based on the COSO criteria.</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as of February 2, 2024 and January 27, 2023, the related consolidated statements of operations, comprehensive operations, changes in stockholders’ equity, and cash flows for each of the years then ended, and the related notes, and our report dated April 3, 2024 expressed an unqualified opinion thereon.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75"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BDO USA, P.C.</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Madison, Wisconsin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April 3,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February 2,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Information required by Item 10 with respect to directors, the audit committee, audit committee financial experts and Section 16(a) beneficial ownership reporting compliance is included under the headings “Item 1. Election of Directors - Committees of the Board,” “Corporate Governance - Director Independence” and in the biographies of the directors contained in “Item 1. Election of Directors,” in our definitive proxy statement for our annual meeting of stockholders to be held on May 9, 2024 (the “2024 Proxy Statement”) which are incorporated herein by reference. With regard to the information required by this item regarding compliance with Section 16(a) of the Exchange Act, we will provide disclosure of delinquent Section 16(a) reports, if any, in our 2024 Proxy Statement under the heading “Other Information - Delinquent Section 16(a) Reports”, and such disclosure, if any, is incorporated herein by reference. The 2024 Proxy Statement will be filed within 120 days after the end of our fiscal year.</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regarding the Company’s executive officers is set forth under the heading “Information about our Executive Officers” in Part I of this Form 10-K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-185420</wp:posOffset>
            </wp:positionV>
            <wp:extent cx="11112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9080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08050" cy="8890"/>
                    </a:xfrm>
                    <a:prstGeom prst="rect">
                      <a:avLst/>
                    </a:prstGeom>
                    <a:noFill/>
                  </pic:spPr>
                </pic:pic>
              </a:graphicData>
            </a:graphic>
          </wp:anchor>
        </w:drawing>
      </w:r>
    </w:p>
    <w:p>
      <w:pPr>
        <w:spacing w:after="0" w:line="3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Lands’ End has adopted a Code of Conduct, which applies to all employees, including our principal executive officer, principal financial officer and principal accounting officer, and a Code of Conduct for its Board of Directors. Directors who are also officers of Lands’ End are subject to both codes of conduct. Each code of conduct is a code of ethics as defined in Item 406 of SEC Regulation S-K. The codes of conduct are available on the Corporate Governance section under Investor Relations on our website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Any amendment to, or waiver from, a provision of either code of conduct will be posted to the above-referenced website.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changes to the process by which stockholders may recommend nominees to the Board of Directors during the last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is set forth in our 2024 Proxy Statement under Item 1. Election of Directors (i) under the heading “Compensation of Directors,” and (ii) under the heading “Executive Compensation,” under the subheadings “Compensation Discussion and Analysis,” “Compensation Committee Report,” and “Compensation Committee Interlocks and Insider Participation,” “Summary Compensation Table,” “Grants of Plan-Based Awards,” “Outstanding Equity Awards at 2023 Fiscal Year End,” “Option Exercises and Stock Vested,” “Employment Arrangements,” “Potential Payments upon Termination of Employment,” and “Chief Executive Officer Pay Ratio” and is incorporated herein by reference. The material incorporated herein by reference to the information set forth under the heading “Executive Compensation - Compensation Committee Report” of the 2024 Proxy Statement shall be deemed furnished, and not filed, in this Annual Report on Form 10-K and shall not be deemed incorporated by reference in any filing under the Securities Act of 1933, as amended, or the Securities Exchange Act of 1934, as amended, as a result of this furnishing except to the extent that it is specifically incorporated by reference by the Company.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is incorporated herein by reference to the material under the heading “Item 1. Election of Directors - Beneficial Ownership of the Company’s Common Stock” of the 2024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Company’s equity compensation plans as of February 2, 2024:</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120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2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80" w:type="dxa"/>
            <w:vAlign w:val="bottom"/>
          </w:tcPr>
          <w:p>
            <w:pPr>
              <w:spacing w:after="0"/>
              <w:rPr>
                <w:sz w:val="12"/>
                <w:szCs w:val="12"/>
                <w:color w:val="auto"/>
              </w:rPr>
            </w:pPr>
          </w:p>
        </w:tc>
        <w:tc>
          <w:tcPr>
            <w:tcW w:w="11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12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and rights (in</w:t>
            </w:r>
          </w:p>
        </w:tc>
        <w:tc>
          <w:tcPr>
            <w:tcW w:w="100" w:type="dxa"/>
            <w:vAlign w:val="bottom"/>
          </w:tcPr>
          <w:p>
            <w:pPr>
              <w:spacing w:after="0"/>
              <w:rPr>
                <w:sz w:val="12"/>
                <w:szCs w:val="12"/>
                <w:color w:val="auto"/>
              </w:rPr>
            </w:pPr>
          </w:p>
        </w:tc>
        <w:tc>
          <w:tcPr>
            <w:tcW w:w="12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11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9"/>
              </w:rPr>
              <w:t>Plan Category</w:t>
            </w:r>
          </w:p>
        </w:tc>
        <w:tc>
          <w:tcPr>
            <w:tcW w:w="4120" w:type="dxa"/>
            <w:vAlign w:val="bottom"/>
          </w:tcPr>
          <w:p>
            <w:pPr>
              <w:spacing w:after="0"/>
              <w:rPr>
                <w:sz w:val="15"/>
                <w:szCs w:val="15"/>
                <w:color w:val="auto"/>
              </w:rPr>
            </w:pPr>
          </w:p>
        </w:tc>
        <w:tc>
          <w:tcPr>
            <w:tcW w:w="1200" w:type="dxa"/>
            <w:vAlign w:val="bottom"/>
          </w:tcPr>
          <w:p>
            <w:pPr>
              <w:jc w:val="center"/>
              <w:ind w:right="42"/>
              <w:spacing w:after="0" w:line="182" w:lineRule="exact"/>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15"/>
                <w:szCs w:val="15"/>
                <w:color w:val="auto"/>
              </w:rPr>
            </w:pPr>
          </w:p>
        </w:tc>
        <w:tc>
          <w:tcPr>
            <w:tcW w:w="1200" w:type="dxa"/>
            <w:vAlign w:val="bottom"/>
          </w:tcPr>
          <w:p>
            <w:pPr>
              <w:jc w:val="center"/>
              <w:ind w:right="44"/>
              <w:spacing w:after="0" w:line="182" w:lineRule="exact"/>
              <w:rPr>
                <w:sz w:val="20"/>
                <w:szCs w:val="20"/>
                <w:color w:val="auto"/>
              </w:rPr>
            </w:pPr>
            <w:r>
              <w:rPr>
                <w:rFonts w:ascii="Times New Roman" w:cs="Times New Roman" w:eastAsia="Times New Roman" w:hAnsi="Times New Roman"/>
                <w:sz w:val="18"/>
                <w:szCs w:val="18"/>
                <w:color w:val="auto"/>
                <w:w w:val="95"/>
              </w:rPr>
              <w:t>(b)</w:t>
            </w:r>
          </w:p>
        </w:tc>
        <w:tc>
          <w:tcPr>
            <w:tcW w:w="80" w:type="dxa"/>
            <w:vAlign w:val="bottom"/>
          </w:tcPr>
          <w:p>
            <w:pPr>
              <w:spacing w:after="0"/>
              <w:rPr>
                <w:sz w:val="15"/>
                <w:szCs w:val="15"/>
                <w:color w:val="auto"/>
              </w:rPr>
            </w:pPr>
          </w:p>
        </w:tc>
        <w:tc>
          <w:tcPr>
            <w:tcW w:w="1160" w:type="dxa"/>
            <w:vAlign w:val="bottom"/>
          </w:tcPr>
          <w:p>
            <w:pPr>
              <w:jc w:val="center"/>
              <w:ind w:right="4"/>
              <w:spacing w:after="0" w:line="182" w:lineRule="exact"/>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45"/>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1,528</w:t>
            </w: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22.00</w:t>
            </w:r>
          </w:p>
        </w:tc>
        <w:tc>
          <w:tcPr>
            <w:tcW w:w="12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25"/>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w:t>
            </w:r>
          </w:p>
        </w:tc>
        <w:tc>
          <w:tcPr>
            <w:tcW w:w="1200" w:type="dxa"/>
            <w:vAlign w:val="bottom"/>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549</w:t>
            </w:r>
          </w:p>
        </w:tc>
        <w:tc>
          <w:tcPr>
            <w:tcW w:w="1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Pr>
          <w:p>
            <w:pPr>
              <w:spacing w:after="0"/>
              <w:rPr>
                <w:sz w:val="19"/>
                <w:szCs w:val="19"/>
                <w:color w:val="auto"/>
              </w:rPr>
            </w:pPr>
          </w:p>
        </w:tc>
        <w:tc>
          <w:tcPr>
            <w:tcW w:w="1160" w:type="dxa"/>
            <w:vAlign w:val="bottom"/>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security holders***</w:t>
            </w:r>
          </w:p>
        </w:tc>
        <w:tc>
          <w:tcPr>
            <w:tcW w:w="120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firstLine="8"/>
        <w:spacing w:after="0" w:line="261" w:lineRule="auto"/>
        <w:tabs>
          <w:tab w:leader="none" w:pos="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take into account the shares issuable upon vesting of outstanding awards of RSUs, which have no exercise price.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shares of common stock that may be issued pursuant to the Lands’ End, Inc. Amended and Restated 2017 Stock Plan (the “2017 Stock Plan”). Awards under the 2017 Stock Plan may be restricted stock, stock unit awards, incentive stock options, nonqualified stock options, stock appreciation rights, or certain other stock-based awards.</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commencing employment, our current CEO was granted options on November 1, 2022 to purchase 168,081 shares of the Company’s common stock of which 126,061 shares were unvested as of February 2, 2024, and 115,633 restricted stock units of which 86,725 restricted stock units were unvested as of February 2, 2024. Our former CEO was granted options on March 6, 2017 to purchase 294,118 shares of the Company’s common stock all of which were outstanding and exercisable as of February 2, 2024. These awards were made as inducement grants outside of our stockholder approved stock plans in accordance with Nasdaq Listing Rule 5635(c)(4).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is incorporated herein by reference to the material under the headings “Certain Relationships and Transactions” and “Corporate Governance” of the 2024 Proxy Statement.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incorporated herein by reference to the material under the heading “Item 4. Ratification of Appointment of Independent Registered Public Accounting Firm - Independent Registered Public Accounting Firm Fees” of the 2024 Proxy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required under this item is filed as part of this report:</w:t>
      </w:r>
    </w:p>
    <w:p>
      <w:pPr>
        <w:spacing w:after="0" w:line="117"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the listing of Financial Statements included as a part of this Form 10-K in Item 8 of Part II on page 46 of this report.</w:t>
      </w:r>
    </w:p>
    <w:p>
      <w:pPr>
        <w:spacing w:after="0" w:line="117"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included in this Form 10-K.</w:t>
      </w:r>
    </w:p>
    <w:p>
      <w:pPr>
        <w:spacing w:after="0" w:line="68"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documents are filed (or furnished, where indicated) as exhibits hereto:</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Exhibit Description</w:t>
      </w:r>
    </w:p>
    <w:p>
      <w:pPr>
        <w:sectPr>
          <w:pgSz w:w="11900" w:h="16838" w:orient="portrait"/>
          <w:cols w:equalWidth="0" w:num="1">
            <w:col w:w="11240"/>
          </w:cols>
          <w:pgMar w:left="320" w:top="769" w:right="339" w:bottom="1440" w:gutter="0" w:footer="0" w:header="0"/>
        </w:sectPr>
      </w:pPr>
    </w:p>
    <w:p>
      <w:pPr>
        <w:spacing w:after="0" w:line="261"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204">
        <w:r>
          <w:rPr>
            <w:rFonts w:ascii="Times New Roman" w:cs="Times New Roman" w:eastAsia="Times New Roman" w:hAnsi="Times New Roman"/>
            <w:sz w:val="17"/>
            <w:szCs w:val="17"/>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206">
        <w:r>
          <w:rPr>
            <w:rFonts w:ascii="Times New Roman" w:cs="Times New Roman" w:eastAsia="Times New Roman" w:hAnsi="Times New Roman"/>
            <w:sz w:val="17"/>
            <w:szCs w:val="17"/>
            <w:u w:val="single" w:color="auto"/>
            <w:color w:val="0000FF"/>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208">
        <w:r>
          <w:rPr>
            <w:rFonts w:ascii="Times New Roman" w:cs="Times New Roman" w:eastAsia="Times New Roman" w:hAnsi="Times New Roman"/>
            <w:sz w:val="17"/>
            <w:szCs w:val="17"/>
            <w:u w:val="single" w:color="auto"/>
            <w:color w:val="0000FF"/>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and Distribution Agreement, dated as of April 4, 2014, by and between Sears Holdings Corporation and Lands’ End,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Exhibit 2.1 to the Company’s Current Report on Form 8-K filed on April 8, 2014 (File No. 001-09769)).</w:t>
      </w:r>
    </w:p>
    <w:p>
      <w:pPr>
        <w:spacing w:after="0" w:line="26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Amended and Restated Certificate of Incorporation of Lands’ End, Inc. (incorporated by reference to Exhibit 3.1 of the Annual Report on Form 10-K filed by Lands’ End, Inc. on March 24, 2022 (File No. 001-09769))</w:t>
      </w:r>
    </w:p>
    <w:p>
      <w:pPr>
        <w:spacing w:after="0" w:line="2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Amended and Restated Bylaws of Lands’ End, Inc. (incorporated by reference to Exhibit 3.1 to the Company’s Current Report on Form 8-K filed on April 8, 2014 (File No. 001-09769)).</w:t>
      </w:r>
    </w:p>
    <w:p>
      <w:pPr>
        <w:spacing w:after="0" w:line="21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ABL Credit Agreement, dated as of November 16, 2017, by and between Lands’ End, Inc. (as the Lead Borrower), Wells Fargo Bank, N.A. (as Agent, L/C Issuer and Swing Line Lender), the Other Lenders party thereto, Wells Fargo Bank, N.A. (as Sole Lead Arranger and Sole Bookrunner) and BMO Harris Bank, N.A. (as Syndication Agent), and SunTrust Bank (as Documentation Agent) (incorporated by reference to Exhibit 4.2 to the Company’s Annual Report on Form 10-K for the fiscal year ended February 2, 2018 (File No. 001-09769)).</w:t>
      </w:r>
    </w:p>
    <w:p>
      <w:pPr>
        <w:spacing w:after="0" w:line="200" w:lineRule="exact"/>
        <w:rPr>
          <w:sz w:val="20"/>
          <w:szCs w:val="20"/>
          <w:color w:val="auto"/>
        </w:rPr>
      </w:pPr>
    </w:p>
    <w:p>
      <w:pPr>
        <w:sectPr>
          <w:pgSz w:w="11900" w:h="16838" w:orient="portrait"/>
          <w:cols w:equalWidth="0" w:num="2">
            <w:col w:w="680" w:space="600"/>
            <w:col w:w="9960"/>
          </w:cols>
          <w:pgMar w:left="320" w:top="769" w:right="339" w:bottom="1440" w:gutter="0" w:footer="0" w:header="0"/>
          <w:type w:val="continuous"/>
        </w:sectPr>
      </w:pPr>
    </w:p>
    <w:p>
      <w:pPr>
        <w:spacing w:after="0" w:line="18" w:lineRule="exact"/>
        <w:rPr>
          <w:sz w:val="20"/>
          <w:szCs w:val="20"/>
          <w:color w:val="auto"/>
        </w:rPr>
      </w:pPr>
    </w:p>
    <w:p>
      <w:pPr>
        <w:ind w:left="1280" w:right="120" w:hanging="813"/>
        <w:spacing w:after="0" w:line="281" w:lineRule="auto"/>
        <w:tabs>
          <w:tab w:leader="none" w:pos="1260" w:val="left"/>
        </w:tabs>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First Amendment to ABL Credit Agreement, dated December 3, 2019, by and between Lands’ End, Inc. (as the Lead Borrower), Wells Fargo Bank, N.A. (as Agent, L/C Issuer and Swing Line Lender), the Other Lenders party thereto, Citizens Bank, N.A. (as Lender) and Suntrust Bank (as Lender), BMO Harris Bank N.A. (as Lender), and JPMorgan Chase Bank N.A. (as Lender) (incorporated by reference to Exhibit 4.2 to the Company’s Annual Report on Form 10-K for the fiscal year ended January 30, 2020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-457835</wp:posOffset>
            </wp:positionV>
            <wp:extent cx="1428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98" w:lineRule="exact"/>
        <w:rPr>
          <w:sz w:val="20"/>
          <w:szCs w:val="20"/>
          <w:color w:val="auto"/>
        </w:rPr>
      </w:pPr>
    </w:p>
    <w:p>
      <w:pPr>
        <w:ind w:left="1280" w:right="160" w:hanging="813"/>
        <w:spacing w:after="0" w:line="261" w:lineRule="auto"/>
        <w:tabs>
          <w:tab w:leader="none" w:pos="1260" w:val="left"/>
        </w:tabs>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u w:val="single" w:color="auto"/>
            <w:color w:val="0000FF"/>
          </w:rPr>
          <w:t>4.3</w:t>
        </w:r>
      </w:hyperlink>
      <w:r>
        <w:rPr>
          <w:rFonts w:ascii="Times New Roman" w:cs="Times New Roman" w:eastAsia="Times New Roman" w:hAnsi="Times New Roman"/>
          <w:sz w:val="18"/>
          <w:szCs w:val="18"/>
          <w:color w:val="0000FF"/>
        </w:rPr>
        <w:tab/>
        <w:t>Second Amendment to ABL Credit Agreement, dated August 12, 2020, by and among Lands’ End, Inc. (as the Lead Borrower), the guarantors party thereto, the lenders party thereto and Wells Fargo Bank, National Association (as Agent, L/C Issuer and Swing Line Lender) (incorporated by reference to Exhibit 4.1 to the Company’s Quarterly Report on Form 10-Q for the fiscal quarter ended July 31, 2020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-448310</wp:posOffset>
            </wp:positionV>
            <wp:extent cx="1428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280" w:hanging="813"/>
        <w:spacing w:after="0" w:line="289" w:lineRule="auto"/>
        <w:tabs>
          <w:tab w:leader="none" w:pos="1260" w:val="left"/>
        </w:tabs>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u w:val="single" w:color="auto"/>
            <w:color w:val="0000FF"/>
          </w:rPr>
          <w:t>4.4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Third Amendment to ABL Credit Agreement, dated July 29, 2021, by and among Lands’ End, Inc. (as the Lead Borrower), the guarantors party thereto, the lenders party thereto and Wells Fargo Bank, National Association (as administrative agent and collateral agent) (incorporated by reference to Exhibit 4.1 of the Company’s Current Report on Form 8-K filed on August 4, 2021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-324485</wp:posOffset>
            </wp:positionV>
            <wp:extent cx="1428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65" w:lineRule="exact"/>
        <w:rPr>
          <w:sz w:val="20"/>
          <w:szCs w:val="20"/>
          <w:color w:val="auto"/>
        </w:rPr>
      </w:pPr>
    </w:p>
    <w:p>
      <w:pPr>
        <w:ind w:left="1300" w:right="220" w:hanging="813"/>
        <w:spacing w:after="0" w:line="289" w:lineRule="auto"/>
        <w:tabs>
          <w:tab w:leader="none" w:pos="1280" w:val="left"/>
        </w:tabs>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u w:val="single" w:color="auto"/>
            <w:color w:val="0000FF"/>
          </w:rPr>
          <w:t>4.5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Fourth Amendment to Credit Agreement, dated May 12, 2023, by and among Lands’ End, Inc. (as the Lead Borrower), the guarantors party thereto, the lenders party thereto and Wells Fargo Bank, National Association (as administrative agent and collateral agent) (incorporated by reference to Exhibit 4.1 of the Company’s Current Report on Form 8-K filed on May 17,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-324485</wp:posOffset>
            </wp:positionV>
            <wp:extent cx="1428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92" w:lineRule="exact"/>
        <w:rPr>
          <w:sz w:val="20"/>
          <w:szCs w:val="20"/>
          <w:color w:val="auto"/>
        </w:rPr>
      </w:pPr>
    </w:p>
    <w:p>
      <w:pPr>
        <w:ind w:left="1300" w:hanging="813"/>
        <w:spacing w:after="0" w:line="266" w:lineRule="auto"/>
        <w:tabs>
          <w:tab w:leader="none" w:pos="1280" w:val="left"/>
        </w:tabs>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u w:val="single" w:color="auto"/>
            <w:color w:val="0000FF"/>
          </w:rPr>
          <w:t>4.6</w:t>
        </w:r>
      </w:hyperlink>
      <w:r>
        <w:rPr>
          <w:rFonts w:ascii="Times New Roman" w:cs="Times New Roman" w:eastAsia="Times New Roman" w:hAnsi="Times New Roman"/>
          <w:sz w:val="18"/>
          <w:szCs w:val="18"/>
          <w:color w:val="0000FF"/>
        </w:rPr>
        <w:tab/>
        <w:t>Term Loan Credit Agreement, dated December 29, 2023, by and among Lands’ End, Inc. (as the borrower), the guarantors party thereto, the lenders party thereto, and Blue Torch Finance LLC (as administrative agent and collateral agent) (incorporated by reference to Exhibit 4.1 of the Company’s Form 8-K filed on January 3, 2024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-313055</wp:posOffset>
            </wp:positionV>
            <wp:extent cx="1428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10" w:lineRule="exact"/>
        <w:rPr>
          <w:sz w:val="20"/>
          <w:szCs w:val="20"/>
          <w:color w:val="auto"/>
        </w:rPr>
      </w:pPr>
    </w:p>
    <w:p>
      <w:pPr>
        <w:ind w:left="1300" w:right="280" w:hanging="813"/>
        <w:spacing w:after="0" w:line="266" w:lineRule="auto"/>
        <w:tabs>
          <w:tab w:leader="none" w:pos="1280" w:val="left"/>
        </w:tabs>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u w:val="single" w:color="auto"/>
            <w:color w:val="0000FF"/>
          </w:rPr>
          <w:t>4.7</w:t>
        </w:r>
      </w:hyperlink>
      <w:r>
        <w:rPr>
          <w:rFonts w:ascii="Times New Roman" w:cs="Times New Roman" w:eastAsia="Times New Roman" w:hAnsi="Times New Roman"/>
          <w:sz w:val="18"/>
          <w:szCs w:val="18"/>
          <w:color w:val="0000FF"/>
        </w:rPr>
        <w:tab/>
        <w:t>Guaranty and Security Agreement, dated December 29, 2023, by and among Lands’ End, Inc., as the Borrower, and the other grantors party thereto and Blue Torch Finance LLC, as Agent (incorporated by reference to Exhibit 4.2 of the Company’s Form 8-K filed on January 3, 2024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-313055</wp:posOffset>
            </wp:positionV>
            <wp:extent cx="1428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10"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FF"/>
        </w:rPr>
        <w:t>*4.8</w:t>
      </w:r>
      <w:r>
        <w:rPr>
          <w:sz w:val="20"/>
          <w:szCs w:val="20"/>
          <w:color w:val="auto"/>
        </w:rPr>
        <w:tab/>
      </w:r>
      <w:r>
        <w:rPr>
          <w:rFonts w:ascii="Times New Roman" w:cs="Times New Roman" w:eastAsia="Times New Roman" w:hAnsi="Times New Roman"/>
          <w:sz w:val="17"/>
          <w:szCs w:val="17"/>
          <w:color w:val="auto"/>
        </w:rPr>
        <w:t>Description of Securities Registered Under Section 12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-7620</wp:posOffset>
            </wp:positionV>
            <wp:extent cx="2000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59" w:lineRule="exact"/>
        <w:rPr>
          <w:sz w:val="20"/>
          <w:szCs w:val="20"/>
          <w:color w:val="auto"/>
        </w:rPr>
      </w:pPr>
    </w:p>
    <w:p>
      <w:pPr>
        <w:ind w:left="1300" w:right="140" w:hanging="858"/>
        <w:spacing w:after="0" w:line="282" w:lineRule="auto"/>
        <w:tabs>
          <w:tab w:leader="none" w:pos="1280" w:val="left"/>
        </w:tabs>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t>Lands’ End, Inc. Amended and Restated 2017 Stock Plan (incorporated by reference to Exhibit 10.1 of the Current Report on Form 8-K filed by Lands’ End, Inc. on May 13, 2019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96" w:lineRule="exact"/>
        <w:rPr>
          <w:sz w:val="20"/>
          <w:szCs w:val="20"/>
          <w:color w:val="auto"/>
        </w:rPr>
      </w:pPr>
    </w:p>
    <w:p>
      <w:pPr>
        <w:ind w:left="1300" w:right="440" w:hanging="858"/>
        <w:spacing w:after="0" w:line="282" w:lineRule="auto"/>
        <w:tabs>
          <w:tab w:leader="none" w:pos="1280" w:val="left"/>
        </w:tabs>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FF"/>
        </w:rPr>
        <w:tab/>
        <w:t>Amendment No. 1 to the Lands’ End, Inc. Amended and Restated 2017 Stock Plan (incorporated by reference to Exhibit 10.1 of the Current Report on Form 8-K filed by Lands’ End, Inc. on June 13,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96" w:lineRule="exact"/>
        <w:rPr>
          <w:sz w:val="20"/>
          <w:szCs w:val="20"/>
          <w:color w:val="auto"/>
        </w:rPr>
      </w:pPr>
    </w:p>
    <w:p>
      <w:pPr>
        <w:ind w:left="1300" w:right="440" w:hanging="858"/>
        <w:spacing w:after="0" w:line="282" w:lineRule="auto"/>
        <w:tabs>
          <w:tab w:leader="none" w:pos="1280" w:val="left"/>
        </w:tabs>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0000FF"/>
        </w:rPr>
        <w:tab/>
        <w:t>Director Compensation Policy effective as of March 19, 2019 (incorporated by reference to Exhibit 10.21 to the Company’s Annual Report on Form 10-K for the fiscal year ended February 1, 2019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96" w:lineRule="exact"/>
        <w:rPr>
          <w:sz w:val="20"/>
          <w:szCs w:val="20"/>
          <w:color w:val="auto"/>
        </w:rPr>
      </w:pPr>
    </w:p>
    <w:p>
      <w:pPr>
        <w:ind w:left="1300" w:right="80" w:hanging="858"/>
        <w:spacing w:after="0" w:line="282" w:lineRule="auto"/>
        <w:tabs>
          <w:tab w:leader="none" w:pos="1280" w:val="left"/>
        </w:tabs>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color w:val="0000FF"/>
        </w:rPr>
        <w:tab/>
        <w:t>Lands’ End, Inc. Umbrella Incentive Program (As Amended and Restated) (incorporated by reference to Exhibit 10.12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96" w:lineRule="exact"/>
        <w:rPr>
          <w:sz w:val="20"/>
          <w:szCs w:val="20"/>
          <w:color w:val="auto"/>
        </w:rPr>
      </w:pPr>
    </w:p>
    <w:p>
      <w:pPr>
        <w:ind w:left="1300" w:right="380" w:hanging="858"/>
        <w:spacing w:after="0" w:line="282" w:lineRule="auto"/>
        <w:tabs>
          <w:tab w:leader="none" w:pos="1280" w:val="left"/>
        </w:tabs>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color w:val="0000FF"/>
        </w:rPr>
        <w:tab/>
        <w:t>Lands’ End, Inc. 2014 Stock Plan (As Amended and Restated) (incorporated by reference to Exhibit 10.11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96" w:lineRule="exact"/>
        <w:rPr>
          <w:sz w:val="20"/>
          <w:szCs w:val="20"/>
          <w:color w:val="auto"/>
        </w:rPr>
      </w:pPr>
    </w:p>
    <w:p>
      <w:pPr>
        <w:ind w:left="1300" w:right="260" w:hanging="858"/>
        <w:spacing w:after="0" w:line="282" w:lineRule="auto"/>
        <w:tabs>
          <w:tab w:leader="none" w:pos="1280" w:val="left"/>
        </w:tabs>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color w:val="0000FF"/>
        </w:rPr>
        <w:tab/>
        <w:t>Form of Time-Based Restricted Stock Unit Agreement (incorporated by reference to Exhibit 10.5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96" w:lineRule="exact"/>
        <w:rPr>
          <w:sz w:val="20"/>
          <w:szCs w:val="20"/>
          <w:color w:val="auto"/>
        </w:rPr>
      </w:pPr>
    </w:p>
    <w:p>
      <w:pPr>
        <w:ind w:left="1300" w:right="480" w:hanging="858"/>
        <w:spacing w:after="0" w:line="282" w:lineRule="auto"/>
        <w:tabs>
          <w:tab w:leader="none" w:pos="1280" w:val="left"/>
        </w:tabs>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0000FF"/>
        </w:rPr>
        <w:tab/>
        <w:t>Form of Performance-Based Restricted Stock Unit Agreement (incorporated by reference to Exhibit 10.6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96" w:lineRule="exact"/>
        <w:rPr>
          <w:sz w:val="20"/>
          <w:szCs w:val="20"/>
          <w:color w:val="auto"/>
        </w:rPr>
      </w:pPr>
    </w:p>
    <w:p>
      <w:pPr>
        <w:ind w:left="1300" w:right="60" w:hanging="858"/>
        <w:spacing w:after="0" w:line="282" w:lineRule="auto"/>
        <w:tabs>
          <w:tab w:leader="none" w:pos="1280" w:val="left"/>
        </w:tabs>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t>Form of Nonqualified Stock Option Agreement (incorporated by reference to Exhibit 10.7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96" w:lineRule="exact"/>
        <w:rPr>
          <w:sz w:val="20"/>
          <w:szCs w:val="20"/>
          <w:color w:val="auto"/>
        </w:rPr>
      </w:pPr>
    </w:p>
    <w:p>
      <w:pPr>
        <w:ind w:left="1300" w:right="520" w:hanging="858"/>
        <w:spacing w:after="0" w:line="282" w:lineRule="auto"/>
        <w:tabs>
          <w:tab w:leader="none" w:pos="1280" w:val="left"/>
        </w:tabs>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color w:val="0000FF"/>
        </w:rPr>
        <w:tab/>
        <w:t>Lands’ End, Inc. Annual Incentive Plan (As Amended and Restated) (incorporated by reference to Exhibit 10.16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300" w:right="780" w:hanging="903"/>
        <w:spacing w:after="0" w:line="282" w:lineRule="auto"/>
        <w:tabs>
          <w:tab w:leader="none" w:pos="1280" w:val="left"/>
        </w:tabs>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color w:val="0000FF"/>
        </w:rPr>
        <w:tab/>
        <w:t>Lands’ End, Inc. Long-Term Incentive Program (As Amended and Restated) (incorporated by reference to Exhibit 10.14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6" w:lineRule="exact"/>
        <w:rPr>
          <w:sz w:val="20"/>
          <w:szCs w:val="20"/>
          <w:color w:val="auto"/>
        </w:rPr>
      </w:pPr>
    </w:p>
    <w:p>
      <w:pPr>
        <w:ind w:left="1300" w:right="680" w:hanging="900"/>
        <w:spacing w:after="0" w:line="282" w:lineRule="auto"/>
        <w:tabs>
          <w:tab w:leader="none" w:pos="1280" w:val="left"/>
        </w:tabs>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color w:val="0000FF"/>
        </w:rPr>
        <w:tab/>
        <w:t>Lands’ End, Inc. Cash Long-Term Incentive Plan (As Amended and Restated) (incorporated by reference to Exhibit 10.15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-185420</wp:posOffset>
            </wp:positionV>
            <wp:extent cx="2527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252730" cy="8255"/>
                    </a:xfrm>
                    <a:prstGeom prst="rect">
                      <a:avLst/>
                    </a:prstGeom>
                    <a:noFill/>
                  </pic:spPr>
                </pic:pic>
              </a:graphicData>
            </a:graphic>
          </wp:anchor>
        </w:drawing>
      </w:r>
    </w:p>
    <w:p>
      <w:pPr>
        <w:spacing w:after="0" w:line="196" w:lineRule="exact"/>
        <w:rPr>
          <w:sz w:val="20"/>
          <w:szCs w:val="20"/>
          <w:color w:val="auto"/>
        </w:rPr>
      </w:pPr>
    </w:p>
    <w:p>
      <w:pPr>
        <w:ind w:left="1300" w:right="220" w:hanging="903"/>
        <w:spacing w:after="0" w:line="312" w:lineRule="auto"/>
        <w:tabs>
          <w:tab w:leader="none" w:pos="1280" w:val="left"/>
        </w:tabs>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Letter from Lands’ End, Inc. to Andrew J. McLean relating to employment, dated September 6, 2022 (incorporated by reference to Exhibit 10.1 to the Company’s Quarterly Report on Form 10-Q for the fiscal quarter ended October 28, 2022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74" w:lineRule="exact"/>
        <w:rPr>
          <w:sz w:val="20"/>
          <w:szCs w:val="20"/>
          <w:color w:val="auto"/>
        </w:rPr>
      </w:pPr>
    </w:p>
    <w:p>
      <w:pPr>
        <w:ind w:left="1300" w:right="120" w:hanging="903"/>
        <w:spacing w:after="0" w:line="266" w:lineRule="auto"/>
        <w:tabs>
          <w:tab w:leader="none" w:pos="1280" w:val="left"/>
        </w:tabs>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color w:val="0000FF"/>
        </w:rPr>
        <w:tab/>
        <w:t>Executive Severance Agreement by and between Lands’ End, Inc. and Andrew J. McLean, dated September 6, 2022 (incorporated by reference to Exhibit 10.2 to the Company’s Quarterly Report on Form 10-Q for the fiscal quarter ended October 22, 2022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-313055</wp:posOffset>
            </wp:positionV>
            <wp:extent cx="2571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10" w:lineRule="exact"/>
        <w:rPr>
          <w:sz w:val="20"/>
          <w:szCs w:val="20"/>
          <w:color w:val="auto"/>
        </w:rPr>
      </w:pPr>
    </w:p>
    <w:p>
      <w:pPr>
        <w:ind w:left="1300" w:right="300" w:hanging="903"/>
        <w:spacing w:after="0" w:line="312" w:lineRule="auto"/>
        <w:tabs>
          <w:tab w:leader="none" w:pos="1280" w:val="left"/>
        </w:tabs>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Sign-On Nonqualified Stock Option Agreement dated November 1, 2022, by and between Lands’ End, Inc. and Andrew J. McLean (incorporated by reference to Exhibit 99.2 to the Form S-8 filed by Lands’ End, Inc. on November 4, 2022 (File No. 333-268170)).**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74" w:lineRule="exact"/>
        <w:rPr>
          <w:sz w:val="20"/>
          <w:szCs w:val="20"/>
          <w:color w:val="auto"/>
        </w:rPr>
      </w:pPr>
    </w:p>
    <w:p>
      <w:pPr>
        <w:ind w:left="1300" w:right="300" w:hanging="903"/>
        <w:spacing w:after="0" w:line="312" w:lineRule="auto"/>
        <w:tabs>
          <w:tab w:leader="none" w:pos="1280" w:val="left"/>
        </w:tabs>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Sign-On Restricted Stock Unit Agreement dated November 1, 2022, by and between Lands’ End, Inc. and Andrew J. McLean (incorporated by reference to Exhibit 99.3 to the Form S-8 filed by Lands’ End, Inc. on November 4, 2022 (File No. 333-268170)).**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74" w:lineRule="exact"/>
        <w:rPr>
          <w:sz w:val="20"/>
          <w:szCs w:val="20"/>
          <w:color w:val="auto"/>
        </w:rPr>
      </w:pPr>
    </w:p>
    <w:p>
      <w:pPr>
        <w:ind w:left="1300" w:right="80" w:hanging="903"/>
        <w:spacing w:after="0" w:line="282" w:lineRule="auto"/>
        <w:tabs>
          <w:tab w:leader="none" w:pos="1280" w:val="left"/>
        </w:tabs>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0000FF"/>
        </w:rPr>
        <w:tab/>
        <w:t>Letter from Lands’ End, Inc. to Peter L. Gray relating to employment, dated April 21, 2017 (incorporated by reference to Exhibit 10.1 to the Company’s Quarterly Report on Form 10-Q for the fiscal quarter ended April 28, 2017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6" w:lineRule="exact"/>
        <w:rPr>
          <w:sz w:val="20"/>
          <w:szCs w:val="20"/>
          <w:color w:val="auto"/>
        </w:rPr>
      </w:pPr>
    </w:p>
    <w:p>
      <w:pPr>
        <w:ind w:left="1300" w:right="120" w:hanging="903"/>
        <w:spacing w:after="0" w:line="282" w:lineRule="auto"/>
        <w:tabs>
          <w:tab w:leader="none" w:pos="1280" w:val="left"/>
        </w:tabs>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0000FF"/>
        </w:rPr>
        <w:tab/>
        <w:t>Executive Severance Agreement by and between Lands’ End, Inc. and Peter L. Gray, dated April 21, 2017 (incorporated by reference to Exhibit 10.3 to the Company’s Quarterly Report on Form 10-Q for the fiscal quarter ended July 30, 2021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6" w:lineRule="exact"/>
        <w:rPr>
          <w:sz w:val="20"/>
          <w:szCs w:val="20"/>
          <w:color w:val="auto"/>
        </w:rPr>
      </w:pPr>
    </w:p>
    <w:p>
      <w:pPr>
        <w:ind w:left="1300" w:hanging="903"/>
        <w:spacing w:after="0" w:line="282" w:lineRule="auto"/>
        <w:tabs>
          <w:tab w:leader="none" w:pos="1280" w:val="left"/>
        </w:tabs>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0000FF"/>
        </w:rPr>
        <w:tab/>
        <w:t>Letter from Lands’ End, Inc. to Peter L. Gray relating to employment, dated January 16, 2023 (incorporated by reference to Exhibit 10.27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6" w:lineRule="exact"/>
        <w:rPr>
          <w:sz w:val="20"/>
          <w:szCs w:val="20"/>
          <w:color w:val="auto"/>
        </w:rPr>
      </w:pPr>
    </w:p>
    <w:p>
      <w:pPr>
        <w:ind w:left="380"/>
        <w:spacing w:after="0"/>
        <w:tabs>
          <w:tab w:leader="none" w:pos="1280" w:val="left"/>
        </w:tabs>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Letter from Lands’ End, Inc. to Sarah Rasmusen relating to employment, dated October 16, 2017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10.24 to the Company’s Annual Report on Form 10-K for the fiscal year ended January 29, 2021 (File No. 001-09769)).**</w:t>
      </w:r>
    </w:p>
    <w:p>
      <w:pPr>
        <w:spacing w:after="0" w:line="261" w:lineRule="exact"/>
        <w:rPr>
          <w:sz w:val="20"/>
          <w:szCs w:val="20"/>
          <w:color w:val="auto"/>
        </w:rPr>
      </w:pPr>
    </w:p>
    <w:p>
      <w:pPr>
        <w:jc w:val="center"/>
        <w:ind w:right="-279"/>
        <w:spacing w:after="0"/>
        <w:tabs>
          <w:tab w:leader="none" w:pos="480" w:val="left"/>
        </w:tabs>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Letter from Lands’ End, Inc. to Sarah Rasmusen relating to employment, dated September 4, 2019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10.25 to the Company’s Annual Report on Form 10-K for the fiscal year ended January 29, 2021 (File No. 001-09769)).**</w:t>
      </w:r>
    </w:p>
    <w:p>
      <w:pPr>
        <w:spacing w:after="0" w:line="261" w:lineRule="exact"/>
        <w:rPr>
          <w:sz w:val="20"/>
          <w:szCs w:val="20"/>
          <w:color w:val="auto"/>
        </w:rPr>
      </w:pPr>
    </w:p>
    <w:p>
      <w:pPr>
        <w:ind w:left="1300" w:right="260" w:hanging="903"/>
        <w:spacing w:after="0" w:line="282" w:lineRule="auto"/>
        <w:tabs>
          <w:tab w:leader="none" w:pos="1280" w:val="left"/>
        </w:tabs>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0000FF"/>
        </w:rPr>
        <w:tab/>
        <w:t>Executive Severance Agreement dated October 16, 2017 between Lands’ End, Inc. and Sarah Rasmusen (incorporated by reference to Exhibit 10.26 to the Company’s Annual Report on Form 10-K for the fiscal year ended January 29, 2021 (File No. 001-9769)).**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6" w:lineRule="exact"/>
        <w:rPr>
          <w:sz w:val="20"/>
          <w:szCs w:val="20"/>
          <w:color w:val="auto"/>
        </w:rPr>
      </w:pPr>
    </w:p>
    <w:p>
      <w:pPr>
        <w:ind w:left="1300" w:right="220" w:hanging="903"/>
        <w:spacing w:after="0" w:line="312" w:lineRule="auto"/>
        <w:tabs>
          <w:tab w:leader="none" w:pos="1280" w:val="left"/>
        </w:tabs>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Letter from Lands’ End, Inc. to Bernard McCracken relating to employment, dated September 14, 2023 (incorporated by reference to Exhibit 10.1 to the Company’s Quarterly Report on Form 10-Q for the fiscal quarter ended October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74" w:lineRule="exact"/>
        <w:rPr>
          <w:sz w:val="20"/>
          <w:szCs w:val="20"/>
          <w:color w:val="auto"/>
        </w:rPr>
      </w:pPr>
    </w:p>
    <w:p>
      <w:pPr>
        <w:ind w:left="1300" w:right="120" w:hanging="903"/>
        <w:spacing w:after="0" w:line="266" w:lineRule="auto"/>
        <w:tabs>
          <w:tab w:leader="none" w:pos="1280" w:val="left"/>
        </w:tabs>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0000FF"/>
        </w:rPr>
        <w:tab/>
        <w:t>Executive Severance Agreement dated September 14, 2023, between Lands’ End, Inc. and Bernard McCracken (incorporated by reference to Exhibit 10.2 to the Company’s Quarterly Report on Form 10-Q for the fiscal quarter ended October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-313055</wp:posOffset>
            </wp:positionV>
            <wp:extent cx="2571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gridSpan w:val="7"/>
          </w:tcPr>
          <w:p>
            <w:pPr>
              <w:jc w:val="center"/>
              <w:ind w:left="230"/>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Letter from Lands’ End, Inc. to Angela Rieger relating to employment, dated January 16, 2023 (incorporated by reference to Exhibit 10.2</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the Company’s Quarterly Report on Form 10-Q for the fiscal quarter ended July 28, 2023 (File No. 001-09769)).**</w:t>
            </w:r>
          </w:p>
        </w:tc>
      </w:tr>
      <w:tr>
        <w:trPr>
          <w:trHeight w:val="445"/>
        </w:trPr>
        <w:tc>
          <w:tcPr>
            <w:tcW w:w="820" w:type="dxa"/>
            <w:vAlign w:val="bottom"/>
            <w:gridSpan w:val="7"/>
          </w:tcPr>
          <w:p>
            <w:pPr>
              <w:jc w:val="center"/>
              <w:ind w:left="230"/>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Severance Agreement by and between Lands’ End, Inc. and Angela Rieger, dated March 10, 2016 (incorporated by reference</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Exhibit 10.3 to the Company’s Quarterly Report on Form 10-Q for the fiscal quarter ended July 28, 2023 (File No. 001-09769)).**</w:t>
            </w:r>
          </w:p>
        </w:tc>
      </w:tr>
      <w:tr>
        <w:trPr>
          <w:trHeight w:val="445"/>
        </w:trPr>
        <w:tc>
          <w:tcPr>
            <w:tcW w:w="340" w:type="dxa"/>
            <w:vAlign w:val="bottom"/>
            <w:gridSpan w:val="2"/>
          </w:tcPr>
          <w:p>
            <w:pPr>
              <w:spacing w:after="0"/>
              <w:rPr>
                <w:sz w:val="24"/>
                <w:szCs w:val="24"/>
                <w:color w:val="auto"/>
              </w:rPr>
            </w:pPr>
          </w:p>
        </w:tc>
        <w:tc>
          <w:tcPr>
            <w:tcW w:w="4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Letter from Lands’ End, Inc. to Angela Rieger relating to employment, effective January 22, 2024. **</w:t>
            </w:r>
          </w:p>
        </w:tc>
      </w:tr>
      <w:tr>
        <w:trPr>
          <w:trHeight w:val="20"/>
        </w:trPr>
        <w:tc>
          <w:tcPr>
            <w:tcW w:w="2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466"/>
        </w:trPr>
        <w:tc>
          <w:tcPr>
            <w:tcW w:w="340" w:type="dxa"/>
            <w:vAlign w:val="bottom"/>
            <w:gridSpan w:val="2"/>
          </w:tcPr>
          <w:p>
            <w:pPr>
              <w:spacing w:after="0"/>
              <w:rPr>
                <w:sz w:val="24"/>
                <w:szCs w:val="24"/>
                <w:color w:val="auto"/>
              </w:rPr>
            </w:pPr>
          </w:p>
        </w:tc>
        <w:tc>
          <w:tcPr>
            <w:tcW w:w="4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Acknowledgement Agreement Pertaining to the Lands’ End, Inc. Clawback Policy. **</w:t>
            </w:r>
          </w:p>
        </w:tc>
      </w:tr>
      <w:tr>
        <w:trPr>
          <w:trHeight w:val="466"/>
        </w:trPr>
        <w:tc>
          <w:tcPr>
            <w:tcW w:w="340" w:type="dxa"/>
            <w:vAlign w:val="bottom"/>
            <w:gridSpan w:val="2"/>
          </w:tcPr>
          <w:p>
            <w:pPr>
              <w:spacing w:after="0"/>
              <w:rPr>
                <w:sz w:val="24"/>
                <w:szCs w:val="24"/>
                <w:color w:val="auto"/>
              </w:rPr>
            </w:pPr>
          </w:p>
        </w:tc>
        <w:tc>
          <w:tcPr>
            <w:tcW w:w="3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*21</w:t>
            </w: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of Lands’ End, Inc.</w:t>
            </w:r>
          </w:p>
        </w:tc>
      </w:tr>
      <w:tr>
        <w:trPr>
          <w:trHeight w:val="20"/>
        </w:trPr>
        <w:tc>
          <w:tcPr>
            <w:tcW w:w="280" w:type="dxa"/>
            <w:vAlign w:val="bottom"/>
          </w:tcPr>
          <w:p>
            <w:pPr>
              <w:spacing w:after="0" w:line="20" w:lineRule="exact"/>
              <w:rPr>
                <w:sz w:val="1"/>
                <w:szCs w:val="1"/>
                <w:color w:val="auto"/>
              </w:rPr>
            </w:pPr>
          </w:p>
        </w:tc>
        <w:tc>
          <w:tcPr>
            <w:tcW w:w="180" w:type="dxa"/>
            <w:vAlign w:val="bottom"/>
            <w:tcBorders>
              <w:right w:val="single" w:sz="8" w:color="0000EE"/>
            </w:tcBorders>
            <w:gridSpan w:val="3"/>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466"/>
        </w:trPr>
        <w:tc>
          <w:tcPr>
            <w:tcW w:w="360" w:type="dxa"/>
            <w:vAlign w:val="bottom"/>
            <w:gridSpan w:val="3"/>
          </w:tcPr>
          <w:p>
            <w:pPr>
              <w:spacing w:after="0"/>
              <w:rPr>
                <w:sz w:val="24"/>
                <w:szCs w:val="24"/>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4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BDO USA, P.C.</w:t>
            </w:r>
          </w:p>
        </w:tc>
      </w:tr>
      <w:tr>
        <w:trPr>
          <w:trHeight w:val="466"/>
        </w:trPr>
        <w:tc>
          <w:tcPr>
            <w:tcW w:w="360" w:type="dxa"/>
            <w:vAlign w:val="bottom"/>
            <w:gridSpan w:val="3"/>
          </w:tcPr>
          <w:p>
            <w:pPr>
              <w:spacing w:after="0"/>
              <w:rPr>
                <w:sz w:val="24"/>
                <w:szCs w:val="24"/>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2</w:t>
            </w:r>
          </w:p>
        </w:tc>
        <w:tc>
          <w:tcPr>
            <w:tcW w:w="4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466"/>
        </w:trPr>
        <w:tc>
          <w:tcPr>
            <w:tcW w:w="820" w:type="dxa"/>
            <w:vAlign w:val="bottom"/>
            <w:gridSpan w:val="7"/>
          </w:tcPr>
          <w:p>
            <w:pPr>
              <w:jc w:val="center"/>
              <w:ind w:left="23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Required Under Rule 13a-14(a) and 15d-14(a) of the Securities Exchange Act of 1934, as</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w:t>
            </w:r>
          </w:p>
        </w:tc>
      </w:tr>
      <w:tr>
        <w:trPr>
          <w:trHeight w:val="445"/>
        </w:trPr>
        <w:tc>
          <w:tcPr>
            <w:tcW w:w="820" w:type="dxa"/>
            <w:vAlign w:val="bottom"/>
            <w:gridSpan w:val="7"/>
          </w:tcPr>
          <w:p>
            <w:pPr>
              <w:jc w:val="center"/>
              <w:ind w:left="23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Required Under Rule 13a-14(a) and 15d-14(a) of the Securities Exchange Act of 1934, as</w:t>
            </w:r>
          </w:p>
        </w:tc>
      </w:tr>
      <w:tr>
        <w:trPr>
          <w:trHeight w:val="237"/>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w:t>
            </w:r>
          </w:p>
        </w:tc>
      </w:tr>
      <w:tr>
        <w:trPr>
          <w:trHeight w:val="446"/>
        </w:trPr>
        <w:tc>
          <w:tcPr>
            <w:tcW w:w="106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0000FF"/>
                <w:w w:val="99"/>
              </w:rPr>
              <w:t>***32.1</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w:t>
            </w:r>
          </w:p>
        </w:tc>
      </w:tr>
      <w:tr>
        <w:trPr>
          <w:trHeight w:val="237"/>
        </w:trPr>
        <w:tc>
          <w:tcPr>
            <w:tcW w:w="28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906 of the Sarbanes-Oxley Act of 2002.</w:t>
            </w:r>
          </w:p>
        </w:tc>
      </w:tr>
      <w:tr>
        <w:trPr>
          <w:trHeight w:val="445"/>
        </w:trPr>
        <w:tc>
          <w:tcPr>
            <w:tcW w:w="360" w:type="dxa"/>
            <w:vAlign w:val="bottom"/>
            <w:gridSpan w:val="3"/>
          </w:tcPr>
          <w:p>
            <w:pPr>
              <w:spacing w:after="0"/>
              <w:rPr>
                <w:sz w:val="24"/>
                <w:szCs w:val="24"/>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Lands’ End, Inc. Clawback Policy.</w:t>
            </w:r>
          </w:p>
        </w:tc>
      </w:tr>
      <w:tr>
        <w:trPr>
          <w:trHeight w:val="461"/>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252" w:lineRule="exact"/>
        <w:rPr>
          <w:sz w:val="20"/>
          <w:szCs w:val="20"/>
          <w:color w:val="auto"/>
        </w:rPr>
      </w:pPr>
    </w:p>
    <w:p>
      <w:pPr>
        <w:ind w:left="1320" w:hanging="783"/>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320" w:hanging="828"/>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w:t>
      </w:r>
    </w:p>
    <w:p>
      <w:pPr>
        <w:spacing w:after="0" w:line="36" w:lineRule="exact"/>
        <w:rPr>
          <w:sz w:val="20"/>
          <w:szCs w:val="20"/>
          <w:color w:val="auto"/>
        </w:rPr>
      </w:pPr>
    </w:p>
    <w:p>
      <w:pPr>
        <w:ind w:left="1320" w:hanging="873"/>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Certain of the agreements incorporated by reference into this report contain representations and warranties and other agreements and undertakings by us and third parties. These representations and warranties, agreements and undertakings have been made as of specific dates, may be subject to important qualifications and limitations agreed to by the parties to the agreement in connection with negotiating the terms of the agreement, and have been included in the agreement for the purpose of allocating risk between the parties to the agreement rather than to establish matters as facts. Any such representations and warranties, agreements, and undertakings have been made solely for the benefit of the parties to the agreement and should not be relied upon by any other person.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 END,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Bernard McCracken</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Bernard McCracken</w:t>
            </w: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 2024</w:t>
            </w:r>
          </w:p>
        </w:tc>
      </w:tr>
    </w:tbl>
    <w:p>
      <w:pPr>
        <w:spacing w:after="0" w:line="252"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28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311"/>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Andrew J. McLean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and Chief Executive Officer (Principal Executive Officer)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3, 2024</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J. McLean</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Bernard McCracken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3, 2024</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Bernard McCracken</w:t>
            </w:r>
          </w:p>
        </w:tc>
        <w:tc>
          <w:tcPr>
            <w:tcW w:w="528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2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Josephine Linden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3, 2024</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Josephine Linden</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Galvin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3, 2024</w:t>
            </w:r>
          </w:p>
        </w:tc>
        <w:tc>
          <w:tcPr>
            <w:tcW w:w="0" w:type="dxa"/>
            <w:vAlign w:val="bottom"/>
          </w:tcPr>
          <w:p>
            <w:pPr>
              <w:spacing w:after="0"/>
              <w:rPr>
                <w:sz w:val="1"/>
                <w:szCs w:val="1"/>
                <w:color w:val="auto"/>
              </w:rPr>
            </w:pPr>
          </w:p>
        </w:tc>
      </w:tr>
      <w:tr>
        <w:trPr>
          <w:trHeight w:val="67"/>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Galvin</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Elizabeth Leykum</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3, 2024</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Leykum</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T. McClain</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3, 2024</w:t>
            </w:r>
          </w:p>
        </w:tc>
        <w:tc>
          <w:tcPr>
            <w:tcW w:w="0" w:type="dxa"/>
            <w:vAlign w:val="bottom"/>
          </w:tcPr>
          <w:p>
            <w:pPr>
              <w:spacing w:after="0"/>
              <w:rPr>
                <w:sz w:val="1"/>
                <w:szCs w:val="1"/>
                <w:color w:val="auto"/>
              </w:rPr>
            </w:pPr>
          </w:p>
        </w:tc>
      </w:tr>
      <w:tr>
        <w:trPr>
          <w:trHeight w:val="67"/>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T. McClain</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Jignesh Patel</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3, 2024</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Jignesh Patel</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Jonah Staw</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3, 2024</w:t>
            </w:r>
          </w:p>
        </w:tc>
        <w:tc>
          <w:tcPr>
            <w:tcW w:w="0" w:type="dxa"/>
            <w:vAlign w:val="bottom"/>
          </w:tcPr>
          <w:p>
            <w:pPr>
              <w:spacing w:after="0"/>
              <w:rPr>
                <w:sz w:val="1"/>
                <w:szCs w:val="1"/>
                <w:color w:val="auto"/>
              </w:rPr>
            </w:pPr>
          </w:p>
        </w:tc>
      </w:tr>
      <w:tr>
        <w:trPr>
          <w:trHeight w:val="67"/>
        </w:trPr>
        <w:tc>
          <w:tcPr>
            <w:tcW w:w="2820" w:type="dxa"/>
            <w:vAlign w:val="bottom"/>
            <w:tcBorders>
              <w:bottom w:val="single" w:sz="8" w:color="auto"/>
            </w:tcBorders>
          </w:tcPr>
          <w:p>
            <w:pPr>
              <w:spacing w:after="0"/>
              <w:rPr>
                <w:sz w:val="5"/>
                <w:szCs w:val="5"/>
                <w:color w:val="auto"/>
              </w:rPr>
            </w:pPr>
          </w:p>
        </w:tc>
        <w:tc>
          <w:tcPr>
            <w:tcW w:w="52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Jonah Staw</w:t>
            </w:r>
          </w:p>
        </w:tc>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2820" w:type="dxa"/>
            <w:vAlign w:val="bottom"/>
          </w:tcPr>
          <w:p>
            <w:pPr>
              <w:spacing w:after="0"/>
              <w:rPr>
                <w:sz w:val="24"/>
                <w:szCs w:val="24"/>
                <w:color w:val="auto"/>
              </w:rPr>
            </w:pPr>
          </w:p>
        </w:tc>
        <w:tc>
          <w:tcPr>
            <w:tcW w:w="52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94</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4.8</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Lands’ End, Inc. has one class of securities registered under Section 12 of the Securities Exchange Act of 1934, as amended: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97" w:lineRule="exact"/>
        <w:rPr>
          <w:sz w:val="20"/>
          <w:szCs w:val="20"/>
          <w:color w:val="auto"/>
        </w:rPr>
      </w:pPr>
    </w:p>
    <w:p>
      <w:pPr>
        <w:ind w:right="140" w:firstLine="845"/>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Amended and Restated Certificate of Incorporation (the “Certificate of Incorporation”) and our Amended and Restated Bylaws (the “Bylaws”), each of which are incorporated by reference as exhibits to the Annual Report on Form 10-K. We encourage you to read our Certificate of Incorporation, our Bylaws and the applicable provisions of the Delaware General Corporation Law, as amended, for additional information.</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175" w:lineRule="exact"/>
        <w:rPr>
          <w:sz w:val="20"/>
          <w:szCs w:val="20"/>
          <w:color w:val="auto"/>
        </w:rPr>
      </w:pPr>
    </w:p>
    <w:p>
      <w:pPr>
        <w:ind w:right="60" w:firstLine="845"/>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480,000,000 shares of common stock, $0.01 par value per share (“Common Stock”). As of February 2, 2024, there were 31,433,156 shares of Common Stock outstanding. The outstanding shares of our Common Stock are fully paid and nonassessable.</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Our common stock is listed and principally traded on The Nasdaq Stock Market LLC under the symbol “LE”.</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ind w:right="40" w:firstLine="845"/>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75" w:lineRule="exact"/>
        <w:rPr>
          <w:sz w:val="20"/>
          <w:szCs w:val="20"/>
          <w:color w:val="auto"/>
        </w:rPr>
      </w:pPr>
    </w:p>
    <w:p>
      <w:pPr>
        <w:ind w:right="280" w:firstLine="845"/>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if any, as may be declared from time to time by the Board of Directors in its discretion out of funds legally available for the payment of dividends.</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Holders of Common Stock will share ratably in all assets legally available for distribution to our stockholders in the event of dissolution.</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175" w:lineRule="exact"/>
        <w:rPr>
          <w:sz w:val="20"/>
          <w:szCs w:val="20"/>
          <w:color w:val="auto"/>
        </w:rPr>
      </w:pPr>
    </w:p>
    <w:p>
      <w:pPr>
        <w:ind w:right="300" w:firstLine="845"/>
        <w:spacing w:after="0" w:line="282" w:lineRule="auto"/>
        <w:rPr>
          <w:sz w:val="20"/>
          <w:szCs w:val="20"/>
          <w:color w:val="auto"/>
        </w:rPr>
      </w:pPr>
      <w:r>
        <w:rPr>
          <w:rFonts w:ascii="Times New Roman" w:cs="Times New Roman" w:eastAsia="Times New Roman" w:hAnsi="Times New Roman"/>
          <w:sz w:val="18"/>
          <w:szCs w:val="18"/>
          <w:color w:val="auto"/>
        </w:rPr>
        <w:t>Our Common Stock has no sinking fund or redemption provisions or preemptive, conversion or exchange rights. Holders of Common Stock may act by unanimous written consent.</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1316355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ind w:left="9020"/>
        <w:spacing w:after="0"/>
        <w:rPr>
          <w:sz w:val="20"/>
          <w:szCs w:val="20"/>
          <w:color w:val="auto"/>
        </w:rPr>
      </w:pPr>
      <w:r>
        <w:rPr>
          <w:rFonts w:ascii="Times New Roman" w:cs="Times New Roman" w:eastAsia="Times New Roman" w:hAnsi="Times New Roman"/>
          <w:sz w:val="22"/>
          <w:szCs w:val="22"/>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22,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Angela Rieger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Omitted]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Angie,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am pleased to inform you that Lands’ End has reviewed your position and have determined that a market adjustment is warranted.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Some key elements of the change are as follows:</w:t>
      </w:r>
    </w:p>
    <w:p>
      <w:pPr>
        <w:spacing w:after="0" w:line="245"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Effective January 22, 2024</w:t>
      </w:r>
    </w:p>
    <w:p>
      <w:pPr>
        <w:spacing w:after="0" w:line="217" w:lineRule="exact"/>
        <w:rPr>
          <w:rFonts w:ascii="Times New Roman" w:cs="Times New Roman" w:eastAsia="Times New Roman" w:hAnsi="Times New Roman"/>
          <w:sz w:val="18"/>
          <w:szCs w:val="18"/>
          <w:color w:val="auto"/>
        </w:rPr>
      </w:pPr>
    </w:p>
    <w:p>
      <w:pPr>
        <w:ind w:left="760" w:right="40" w:hanging="378"/>
        <w:spacing w:after="0" w:line="251"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Your new annualized base salary of $500,000 (less applicable withholdings and deductions) paid in bi-weekly payments in accordance with the Company’s normal payroll practice. Any increases will be determined based on a number of factors, with performance typically being the most significant factor. You will be first eligible for merit increase consideration in the 2025 merit cycle.</w:t>
      </w:r>
    </w:p>
    <w:p>
      <w:pPr>
        <w:spacing w:after="0" w:line="20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All other terms and conditions of your employment remain in full force and effect.</w:t>
      </w:r>
    </w:p>
    <w:p>
      <w:pPr>
        <w:spacing w:after="0" w:line="2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We all think highly of you and believe there will be opportunity to leverage your knowledge, experience, and leadership as we continue to grow as a trusted American lifestyle brand.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Kelly Ritchie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Kelly Ritchie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Chief HR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97" w:name="page98"/>
    <w:bookmarkEnd w:id="97"/>
    <w:p>
      <w:pPr>
        <w:ind w:left="9020"/>
        <w:spacing w:after="0"/>
        <w:rPr>
          <w:sz w:val="20"/>
          <w:szCs w:val="20"/>
          <w:color w:val="auto"/>
        </w:rPr>
      </w:pPr>
      <w:r>
        <w:rPr>
          <w:rFonts w:ascii="Times New Roman" w:cs="Times New Roman" w:eastAsia="Times New Roman" w:hAnsi="Times New Roman"/>
          <w:sz w:val="22"/>
          <w:szCs w:val="22"/>
          <w:b w:val="1"/>
          <w:bCs w:val="1"/>
          <w:color w:val="auto"/>
        </w:rPr>
        <w:t>EXHIBIT 10.27</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ACKNOWLEDGMENT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PERTAINING TO THE LANDS’ END, INC. CLAWBACK POLICY</w:t>
      </w:r>
    </w:p>
    <w:p>
      <w:pPr>
        <w:spacing w:after="0" w:line="21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1"/>
          <w:szCs w:val="21"/>
          <w:color w:val="auto"/>
        </w:rPr>
        <w:t>In consideration of, and as a condition to, the receipt of future cash and equity incentive compensation from Lands’ End, Inc. (the “Company”), _________________ (“Executive”) and the Company are entering into this Acknowledgment Agreement.</w:t>
      </w:r>
    </w:p>
    <w:p>
      <w:pPr>
        <w:spacing w:after="0" w:line="135" w:lineRule="exact"/>
        <w:rPr>
          <w:sz w:val="20"/>
          <w:szCs w:val="20"/>
          <w:color w:val="auto"/>
        </w:rPr>
      </w:pPr>
    </w:p>
    <w:p>
      <w:pPr>
        <w:jc w:val="both"/>
        <w:ind w:left="760" w:hanging="378"/>
        <w:spacing w:after="0" w:line="239" w:lineRule="auto"/>
        <w:tabs>
          <w:tab w:leader="none" w:pos="7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compensation received by Executive may be subject to reduction, cancellation, forfeiture and/or recoupment to the extent necessary to comply with the Clawback Policy adopted by the Board of Directors of the Company (as amended from time to time, the “Policy”). Executive acknowledges that Executive has received and has had an opportunity to review the Policy.</w:t>
      </w:r>
    </w:p>
    <w:p>
      <w:pPr>
        <w:spacing w:after="0" w:line="180"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to the terms of the Policy, including that any compensation received by Executive shall be subject to and conditioned upon the provisions of the Policy.</w:t>
      </w:r>
    </w:p>
    <w:p>
      <w:pPr>
        <w:spacing w:after="0" w:line="158"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further acknowledges and agrees that Executive is not entitled to indemnification in connection with any enforcement of the Policy and expressly waives any rights to such indemnification under the Company’s organizational documents or otherwise.</w:t>
      </w:r>
    </w:p>
    <w:p>
      <w:pPr>
        <w:spacing w:after="0" w:line="173"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take all actions requested by the Company in order to enable or facilitate the enforcement of the Policy (including, without limitation, any reduction, cancellation, forfeiture or recoupment of any compensation that Executive has received or to which Executive may become entitled).</w:t>
      </w:r>
    </w:p>
    <w:p>
      <w:pPr>
        <w:spacing w:after="0" w:line="173"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recovery right under the Policy conflicts with any other contractual rights Executive may have with the Company or any affiliate, Executive understands that the terms of the Policy shall supersede any such contractual rights. Executive agrees that no recovery of compensation under the Policy will be an event that triggers or contributes to any right of Executive to resign for “good reason” or “constructive termination” (or similar term) under any agreement with the Company or any affiliate.</w:t>
      </w: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28460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28460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8460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460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t>LANDS’ END,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28460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8460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8460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28460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0" w:right="1440" w:bottom="1440" w:gutter="0" w:footer="0" w:header="0"/>
        </w:sectPr>
      </w:pPr>
    </w:p>
    <w:bookmarkStart w:id="99" w:name="page100"/>
    <w:bookmarkEnd w:id="99"/>
    <w:p>
      <w:pPr>
        <w:ind w:left="4680"/>
        <w:spacing w:after="0"/>
        <w:rPr>
          <w:sz w:val="20"/>
          <w:szCs w:val="20"/>
          <w:color w:val="auto"/>
        </w:rPr>
      </w:pPr>
      <w:r>
        <w:rPr>
          <w:rFonts w:ascii="Times New Roman" w:cs="Times New Roman" w:eastAsia="Times New Roman" w:hAnsi="Times New Roman"/>
          <w:sz w:val="22"/>
          <w:szCs w:val="22"/>
          <w:b w:val="1"/>
          <w:bCs w:val="1"/>
          <w:color w:val="auto"/>
        </w:rPr>
        <w:t>LANDS’ END, INC.</w:t>
      </w:r>
    </w:p>
    <w:p>
      <w:pPr>
        <w:spacing w:after="0" w:line="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36"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Lands’ End,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Clawback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20" w:lineRule="exact"/>
        <w:rPr>
          <w:sz w:val="20"/>
          <w:szCs w:val="20"/>
          <w:color w:val="auto"/>
        </w:rPr>
      </w:pPr>
    </w:p>
    <w:p>
      <w:pPr>
        <w:ind w:left="440" w:hanging="432"/>
        <w:spacing w:after="0"/>
        <w:tabs>
          <w:tab w:leader="none" w:pos="44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17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This Policy shall apply to current and former Officers of the Company. Each Officer shall be required to sign an acknowledgment pursuant to which such Officer will agree to be bound by the terms of, and comply with, this Policy,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however, any Officer’s failure to sign any such acknowledgment shall not negate the application of this Policy to the Officer.</w:t>
      </w:r>
    </w:p>
    <w:p>
      <w:pPr>
        <w:spacing w:after="0" w:line="136"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32" w:lineRule="exact"/>
        <w:rPr>
          <w:sz w:val="20"/>
          <w:szCs w:val="20"/>
          <w:color w:val="auto"/>
        </w:rPr>
      </w:pPr>
    </w:p>
    <w:p>
      <w:pPr>
        <w:ind w:left="440" w:hanging="432"/>
        <w:spacing w:after="0"/>
        <w:tabs>
          <w:tab w:leader="none" w:pos="44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17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47" w:lineRule="exact"/>
        <w:rPr>
          <w:sz w:val="20"/>
          <w:szCs w:val="20"/>
          <w:color w:val="auto"/>
        </w:rPr>
      </w:pPr>
    </w:p>
    <w:p>
      <w:pPr>
        <w:ind w:left="440" w:hanging="432"/>
        <w:spacing w:after="0"/>
        <w:tabs>
          <w:tab w:leader="none" w:pos="44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17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0" w:name="page101"/>
    <w:bookmarkEnd w:id="100"/>
    <w:p>
      <w:pPr>
        <w:ind w:right="20"/>
        <w:spacing w:after="0" w:line="258" w:lineRule="auto"/>
        <w:rPr>
          <w:sz w:val="20"/>
          <w:szCs w:val="20"/>
          <w:color w:val="auto"/>
        </w:rPr>
      </w:pPr>
      <w:r>
        <w:rPr>
          <w:rFonts w:ascii="Times New Roman" w:cs="Times New Roman" w:eastAsia="Times New Roman" w:hAnsi="Times New Roman"/>
          <w:sz w:val="22"/>
          <w:szCs w:val="22"/>
          <w:color w:val="auto"/>
        </w:rPr>
        <w:t>Company from the recipient of such Erroneously Awarded Compensation may be credited to the amount of Erroneously Awarded Compensation required to be recovered pursuant to this Policy from such person.</w:t>
      </w:r>
    </w:p>
    <w:p>
      <w:pPr>
        <w:spacing w:after="0" w:line="100" w:lineRule="exact"/>
        <w:rPr>
          <w:sz w:val="20"/>
          <w:szCs w:val="20"/>
          <w:color w:val="auto"/>
        </w:rPr>
      </w:pPr>
    </w:p>
    <w:p>
      <w:pPr>
        <w:ind w:left="440" w:hanging="432"/>
        <w:spacing w:after="0"/>
        <w:tabs>
          <w:tab w:leader="none" w:pos="44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15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14" w:lineRule="exact"/>
        <w:rPr>
          <w:sz w:val="20"/>
          <w:szCs w:val="20"/>
          <w:color w:val="auto"/>
        </w:rPr>
      </w:pPr>
    </w:p>
    <w:p>
      <w:pPr>
        <w:ind w:left="440" w:hanging="432"/>
        <w:spacing w:after="0"/>
        <w:tabs>
          <w:tab w:leader="none" w:pos="4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15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15" w:lineRule="exact"/>
        <w:rPr>
          <w:sz w:val="20"/>
          <w:szCs w:val="20"/>
          <w:color w:val="auto"/>
        </w:rPr>
      </w:pPr>
    </w:p>
    <w:p>
      <w:pPr>
        <w:ind w:left="440" w:hanging="432"/>
        <w:spacing w:after="0"/>
        <w:tabs>
          <w:tab w:leader="none" w:pos="44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15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19" w:lineRule="exact"/>
        <w:rPr>
          <w:sz w:val="20"/>
          <w:szCs w:val="20"/>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15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25" w:lineRule="exact"/>
        <w:rPr>
          <w:sz w:val="20"/>
          <w:szCs w:val="20"/>
          <w:color w:val="auto"/>
        </w:rPr>
      </w:pPr>
    </w:p>
    <w:p>
      <w:pPr>
        <w:ind w:left="440" w:hanging="432"/>
        <w:spacing w:after="0"/>
        <w:tabs>
          <w:tab w:leader="none" w:pos="44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15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applicable law.</w:t>
      </w:r>
    </w:p>
    <w:p>
      <w:pPr>
        <w:spacing w:after="0" w:line="162" w:lineRule="exact"/>
        <w:rPr>
          <w:sz w:val="20"/>
          <w:szCs w:val="20"/>
          <w:color w:val="auto"/>
        </w:rPr>
      </w:pPr>
    </w:p>
    <w:p>
      <w:pPr>
        <w:ind w:left="440" w:hanging="432"/>
        <w:spacing w:after="0"/>
        <w:tabs>
          <w:tab w:leader="none" w:pos="4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w:t>
      </w:r>
    </w:p>
    <w:p>
      <w:pPr>
        <w:spacing w:after="0" w:line="114" w:lineRule="exact"/>
        <w:rPr>
          <w:sz w:val="20"/>
          <w:szCs w:val="20"/>
          <w:color w:val="auto"/>
        </w:rPr>
      </w:pPr>
    </w:p>
    <w:p>
      <w:pPr>
        <w:ind w:left="440" w:hanging="432"/>
        <w:spacing w:after="0"/>
        <w:tabs>
          <w:tab w:leader="none" w:pos="44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63" w:lineRule="exact"/>
        <w:rPr>
          <w:rFonts w:ascii="Times New Roman" w:cs="Times New Roman" w:eastAsia="Times New Roman" w:hAnsi="Times New Roman"/>
          <w:sz w:val="22"/>
          <w:szCs w:val="22"/>
          <w:b w:val="1"/>
          <w:bCs w:val="1"/>
          <w:color w:val="auto"/>
        </w:rPr>
      </w:pPr>
    </w:p>
    <w:p>
      <w:pPr>
        <w:jc w:val="both"/>
        <w:ind w:firstLine="432"/>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45"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of the Board, or in the absence of such a committee, a majority of the independent directors serving on the Board.</w:t>
      </w:r>
    </w:p>
    <w:p>
      <w:pPr>
        <w:spacing w:after="0" w:line="10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2" w:name="page103"/>
    <w:bookmarkEnd w:id="102"/>
    <w:p>
      <w:pPr>
        <w:jc w:val="both"/>
        <w:spacing w:after="0" w:line="239" w:lineRule="auto"/>
        <w:rPr>
          <w:sz w:val="20"/>
          <w:szCs w:val="20"/>
          <w:color w:val="auto"/>
        </w:rPr>
      </w:pPr>
      <w:r>
        <w:rPr>
          <w:rFonts w:ascii="Times New Roman" w:cs="Times New Roman" w:eastAsia="Times New Roman" w:hAnsi="Times New Roman"/>
          <w:sz w:val="22"/>
          <w:szCs w:val="22"/>
          <w:color w:val="auto"/>
        </w:rPr>
        <w:t>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05" w:lineRule="exact"/>
        <w:rPr>
          <w:sz w:val="20"/>
          <w:szCs w:val="20"/>
          <w:color w:val="auto"/>
        </w:rPr>
      </w:pPr>
    </w:p>
    <w:p>
      <w:pPr>
        <w:jc w:val="both"/>
        <w:ind w:right="20"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 and each person who holds a position of senior vice president (or equivalent) or higher of the Company.</w:t>
      </w:r>
    </w:p>
    <w:p>
      <w:pPr>
        <w:spacing w:after="0" w:line="14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37" w:lineRule="auto"/>
        <w:tabs>
          <w:tab w:leader="none" w:pos="31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3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spacing w:after="0" w:line="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Lands’ End, Inc., the names under which such subsidiaries do business, and the state or country in which each was organized.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Names</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r>
      <w:tr>
        <w:trPr>
          <w:trHeight w:val="196"/>
        </w:trPr>
        <w:tc>
          <w:tcPr>
            <w:tcW w:w="9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80" w:type="dxa"/>
            <w:vAlign w:val="bottom"/>
          </w:tcPr>
          <w:p>
            <w:pPr>
              <w:spacing w:after="0"/>
              <w:rPr>
                <w:sz w:val="17"/>
                <w:szCs w:val="17"/>
                <w:color w:val="auto"/>
              </w:rPr>
            </w:pPr>
          </w:p>
        </w:tc>
        <w:tc>
          <w:tcPr>
            <w:tcW w:w="10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Organization</w:t>
            </w:r>
          </w:p>
        </w:tc>
        <w:tc>
          <w:tcPr>
            <w:tcW w:w="128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920" w:type="dxa"/>
            <w:vAlign w:val="bottom"/>
          </w:tcPr>
          <w:p>
            <w:pPr>
              <w:spacing w:after="0"/>
              <w:rPr>
                <w:sz w:val="22"/>
                <w:szCs w:val="22"/>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Canada Outfitters ULC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Direct Merchants, Inc.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International, Inc.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Europe Limited</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&amp; Wales</w:t>
            </w:r>
          </w:p>
        </w:tc>
      </w:tr>
      <w:tr>
        <w:trPr>
          <w:trHeight w:val="243"/>
        </w:trPr>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GmbH</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(HK) Limited</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Japan, Inc.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Japan, KK (dissolved January 31, 2023)</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Publishing, LLC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9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LEGC, LLC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1640"/>
        </w:trPr>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333-263594) and Form S-8 (Nos. 333-195111, 333-215262, 333-217096, 333-231470, 333-268170 and 333-272630) of Lands’ End, Inc. (the “Company”), of our reports dated April 3, 2024, relating to the consolidated financial statements and the effectiveness of the Company’s internal control over financial reporting, which appear in this Annual Report on Form 10-K.</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Wisconsin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333-263594 on Form S-3 and Registration Statement Nos. 333-195111, 333-215262, 333-217096, 333-231470, 333-268170 and 333-272630 on Form S-8, of our report dated March 24, 2022, relating to the consolidated financial statements of Lands’ End, Inc. and subsidiaries, appearing in this Annual Report on Form 10-K of Lands’ End, Inc. for the year ended February 2,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McLean, certify that:</w:t>
      </w:r>
    </w:p>
    <w:p>
      <w:pPr>
        <w:spacing w:after="0" w:line="144"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 End, Inc.;</w:t>
      </w:r>
    </w:p>
    <w:p>
      <w:pPr>
        <w:spacing w:after="0" w:line="15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500" w:hanging="369"/>
        <w:spacing w:after="0" w:line="266" w:lineRule="auto"/>
        <w:tabs>
          <w:tab w:leader="none" w:pos="1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00" w:right="540" w:hanging="369"/>
        <w:spacing w:after="0" w:line="282" w:lineRule="auto"/>
        <w:tabs>
          <w:tab w:leader="none" w:pos="1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Andrew J. McLean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McLean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 End,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McCracken, certify that:</w:t>
      </w:r>
    </w:p>
    <w:p>
      <w:pPr>
        <w:spacing w:after="0" w:line="144"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 End, Inc.;</w:t>
      </w:r>
    </w:p>
    <w:p>
      <w:pPr>
        <w:spacing w:after="0" w:line="15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500" w:hanging="369"/>
        <w:spacing w:after="0" w:line="266"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00" w:right="540" w:hanging="369"/>
        <w:spacing w:after="0" w:line="282"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Bernard McCracken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 End,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 as adopted by Section 906 of the Sarbanes-Oxley Act of 2002</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Each of the undersigned, Andrew J. McLean, Chief Executive Officer of Lands’ End, Inc. (the “Company”) and Bernard McCracken, Chief Financial Officer of the Company, has executed this certification in connection with the filing with the Securities and Exchange Commission of the Company’s Annual Report on Form 10-K for the fiscal year ended February 2, 2024 (the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that:</w:t>
      </w:r>
    </w:p>
    <w:p>
      <w:pPr>
        <w:spacing w:after="0" w:line="144"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Andrew J. McLean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McLean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Bernard McCracken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9" w:name="page110"/>
    <w:bookmarkEnd w:id="109"/>
    <w:p>
      <w:pPr>
        <w:ind w:left="902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40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LANDS’ END, INC.</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190"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Lands’ End,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adopted this Clawback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effective as of October 2, 2023 (the “</w:t>
      </w:r>
      <w:r>
        <w:rPr>
          <w:rFonts w:ascii="Times New Roman" w:cs="Times New Roman" w:eastAsia="Times New Roman" w:hAnsi="Times New Roman"/>
          <w:sz w:val="20"/>
          <w:szCs w:val="20"/>
          <w:b w:val="1"/>
          <w:bCs w:val="1"/>
          <w:i w:val="1"/>
          <w:i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Capitalized terms used in this Policy but not otherwise defined herein are defined in Section 11.</w:t>
      </w:r>
    </w:p>
    <w:p>
      <w:pPr>
        <w:spacing w:after="0" w:line="165" w:lineRule="exact"/>
        <w:rPr>
          <w:sz w:val="20"/>
          <w:szCs w:val="20"/>
          <w:color w:val="auto"/>
        </w:rPr>
      </w:pPr>
    </w:p>
    <w:p>
      <w:pPr>
        <w:ind w:left="760" w:hanging="752"/>
        <w:spacing w:after="0"/>
        <w:tabs>
          <w:tab w:leader="none" w:pos="7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Persons Subject to Policy</w:t>
      </w:r>
    </w:p>
    <w:p>
      <w:pPr>
        <w:spacing w:after="0" w:line="197"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 xml:space="preserve">This Policy shall apply to current and former Officers of the Company. Each Officer shall be required to sign an acknowledgment pursuant to which such Officer will agree to be bound by the terms of, and comply with, this Policy, substantially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however, any Officer’s failure to sign any such acknowledgment shall not negate the application of this Policy to the Officer.</w:t>
      </w:r>
    </w:p>
    <w:p>
      <w:pPr>
        <w:spacing w:after="0" w:line="152" w:lineRule="exact"/>
        <w:rPr>
          <w:sz w:val="20"/>
          <w:szCs w:val="20"/>
          <w:color w:val="auto"/>
        </w:rPr>
      </w:pPr>
    </w:p>
    <w:p>
      <w:pPr>
        <w:ind w:left="400" w:hanging="392"/>
        <w:spacing w:after="0"/>
        <w:tabs>
          <w:tab w:leader="none" w:pos="4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Subject to Policy</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81" w:lineRule="exact"/>
        <w:rPr>
          <w:sz w:val="20"/>
          <w:szCs w:val="20"/>
          <w:color w:val="auto"/>
        </w:rPr>
      </w:pPr>
    </w:p>
    <w:p>
      <w:pPr>
        <w:ind w:left="400" w:hanging="392"/>
        <w:spacing w:after="0"/>
        <w:tabs>
          <w:tab w:leader="none" w:pos="40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of Compensation</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2" w:lineRule="exact"/>
        <w:rPr>
          <w:sz w:val="20"/>
          <w:szCs w:val="20"/>
          <w:color w:val="auto"/>
        </w:rPr>
      </w:pPr>
    </w:p>
    <w:p>
      <w:pPr>
        <w:ind w:left="400" w:hanging="392"/>
        <w:spacing w:after="0"/>
        <w:tabs>
          <w:tab w:leader="none" w:pos="40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Manner of Recovery; Limitation on Duplicative Recovery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0" w:name="page111"/>
    <w:bookmarkEnd w:id="110"/>
    <w:p>
      <w:pPr>
        <w:jc w:val="both"/>
        <w:spacing w:after="0" w:line="245" w:lineRule="auto"/>
        <w:rPr>
          <w:sz w:val="20"/>
          <w:szCs w:val="20"/>
          <w:color w:val="auto"/>
        </w:rPr>
      </w:pPr>
      <w:r>
        <w:rPr>
          <w:rFonts w:ascii="Times New Roman" w:cs="Times New Roman" w:eastAsia="Times New Roman" w:hAnsi="Times New Roman"/>
          <w:sz w:val="20"/>
          <w:szCs w:val="20"/>
          <w:color w:val="auto"/>
        </w:rPr>
        <w:t>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80" w:lineRule="exact"/>
        <w:rPr>
          <w:sz w:val="20"/>
          <w:szCs w:val="20"/>
          <w:color w:val="auto"/>
        </w:rPr>
      </w:pPr>
    </w:p>
    <w:p>
      <w:pPr>
        <w:ind w:left="400" w:hanging="392"/>
        <w:spacing w:after="0"/>
        <w:tabs>
          <w:tab w:leader="none" w:pos="40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5" w:lineRule="exact"/>
        <w:rPr>
          <w:sz w:val="20"/>
          <w:szCs w:val="20"/>
          <w:color w:val="auto"/>
        </w:rPr>
      </w:pPr>
    </w:p>
    <w:p>
      <w:pPr>
        <w:ind w:left="400" w:hanging="392"/>
        <w:spacing w:after="0"/>
        <w:tabs>
          <w:tab w:leader="none" w:pos="40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70" w:lineRule="exact"/>
        <w:rPr>
          <w:sz w:val="20"/>
          <w:szCs w:val="20"/>
          <w:color w:val="auto"/>
        </w:rPr>
      </w:pPr>
    </w:p>
    <w:p>
      <w:pPr>
        <w:ind w:left="400" w:hanging="392"/>
        <w:spacing w:after="0"/>
        <w:tabs>
          <w:tab w:leader="none" w:pos="40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Indemnification; No Liability</w:t>
      </w:r>
    </w:p>
    <w:p>
      <w:pPr>
        <w:spacing w:after="0" w:line="22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61" w:lineRule="exact"/>
        <w:rPr>
          <w:sz w:val="20"/>
          <w:szCs w:val="20"/>
          <w:color w:val="auto"/>
        </w:rPr>
      </w:pPr>
    </w:p>
    <w:p>
      <w:pPr>
        <w:ind w:left="400" w:hanging="392"/>
        <w:spacing w:after="0"/>
        <w:tabs>
          <w:tab w:leader="none" w:pos="40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Application; Enforceability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Company or an affiliate or required under applicable law (the “</w:t>
      </w:r>
      <w:r>
        <w:rPr>
          <w:rFonts w:ascii="Times New Roman" w:cs="Times New Roman" w:eastAsia="Times New Roman" w:hAnsi="Times New Roman"/>
          <w:sz w:val="20"/>
          <w:szCs w:val="20"/>
          <w:b w:val="1"/>
          <w:bCs w:val="1"/>
          <w:i w:val="1"/>
          <w:iCs w:val="1"/>
          <w:color w:val="auto"/>
        </w:rPr>
        <w:t>Other Recovery Arrangements</w:t>
      </w:r>
      <w:r>
        <w:rPr>
          <w:rFonts w:ascii="Times New Roman" w:cs="Times New Roman" w:eastAsia="Times New Roman" w:hAnsi="Times New Roman"/>
          <w:sz w:val="20"/>
          <w:szCs w:val="20"/>
          <w:color w:val="auto"/>
        </w:rPr>
        <w:t>”). The remedy specified in this Policy shall not be exclusive and shall be in addition to every other right or remedy at law or in equity that may be available to the Company or an affiliate of the Company.</w:t>
      </w:r>
    </w:p>
    <w:p>
      <w:pPr>
        <w:spacing w:after="0" w:line="169" w:lineRule="exact"/>
        <w:rPr>
          <w:sz w:val="20"/>
          <w:szCs w:val="20"/>
          <w:color w:val="auto"/>
        </w:rPr>
      </w:pPr>
    </w:p>
    <w:p>
      <w:pPr>
        <w:ind w:left="400" w:hanging="392"/>
        <w:spacing w:after="0"/>
        <w:tabs>
          <w:tab w:leader="none" w:pos="40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400" w:hanging="392"/>
        <w:spacing w:after="0"/>
        <w:tabs>
          <w:tab w:leader="none" w:pos="40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and Termination</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Board or the Committee may amend, modify or terminate this Policy in whole or in part at any time and from time to time in its sole discretion.</w:t>
      </w:r>
    </w:p>
    <w:p>
      <w:pPr>
        <w:spacing w:after="0" w:line="155" w:lineRule="exact"/>
        <w:rPr>
          <w:sz w:val="20"/>
          <w:szCs w:val="20"/>
          <w:color w:val="auto"/>
        </w:rPr>
      </w:pPr>
    </w:p>
    <w:p>
      <w:pPr>
        <w:ind w:left="400" w:hanging="392"/>
        <w:spacing w:after="0"/>
        <w:tabs>
          <w:tab w:leader="none" w:pos="4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148" w:lineRule="exact"/>
        <w:rPr>
          <w:rFonts w:ascii="Times New Roman" w:cs="Times New Roman" w:eastAsia="Times New Roman" w:hAnsi="Times New Roman"/>
          <w:sz w:val="20"/>
          <w:szCs w:val="20"/>
          <w:b w:val="1"/>
          <w:bCs w:val="1"/>
          <w:color w:val="auto"/>
        </w:rPr>
      </w:pPr>
    </w:p>
    <w:p>
      <w:pPr>
        <w:jc w:val="both"/>
        <w:ind w:firstLine="396"/>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Applicable Rules</w:t>
      </w:r>
      <w:r>
        <w:rPr>
          <w:rFonts w:ascii="Times New Roman" w:cs="Times New Roman" w:eastAsia="Times New Roman" w:hAnsi="Times New Roman"/>
          <w:sz w:val="20"/>
          <w:szCs w:val="20"/>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9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Compensation Committee of the Board, or in the absence of such a committee, a majority of the independent directors serving on the Board.</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United States generally accepted accounting principles.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means international financial reporting standards as adopted by the International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2" w:name="page113"/>
    <w:bookmarkEnd w:id="112"/>
    <w:p>
      <w:pPr>
        <w:jc w:val="both"/>
        <w:ind w:firstLine="749"/>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Impracticable</w:t>
      </w:r>
      <w:r>
        <w:rPr>
          <w:rFonts w:ascii="Times New Roman" w:cs="Times New Roman" w:eastAsia="Times New Roman" w:hAnsi="Times New Roman"/>
          <w:sz w:val="20"/>
          <w:szCs w:val="20"/>
          <w:color w:val="auto"/>
        </w:rPr>
        <w:t>” means (a) the direct costs paid to third parties to assist in enforcing recovery would exceed the Erroneously Awarded Compensation; provided that the Company (i) has made reasonable attempts to recover the Erroneously Awarded Compensation,</w:t>
      </w:r>
    </w:p>
    <w:p>
      <w:pPr>
        <w:spacing w:after="0" w:line="1" w:lineRule="exact"/>
        <w:rPr>
          <w:sz w:val="20"/>
          <w:szCs w:val="20"/>
          <w:color w:val="auto"/>
        </w:rPr>
      </w:pPr>
    </w:p>
    <w:p>
      <w:pPr>
        <w:jc w:val="both"/>
        <w:ind w:firstLine="8"/>
        <w:spacing w:after="0" w:line="244" w:lineRule="auto"/>
        <w:tabs>
          <w:tab w:leader="none" w:pos="30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documented such attempt(s), and (iii) provided such documentation to the relevant listing </w:t>
      </w:r>
      <w:r>
        <w:rPr>
          <w:rFonts w:ascii="Times New Roman" w:cs="Times New Roman" w:eastAsia="Times New Roman" w:hAnsi="Times New Roman"/>
          <w:sz w:val="21"/>
          <w:szCs w:val="21"/>
          <w:color w:val="auto"/>
        </w:rPr>
        <w:t>exchange or association, (b) to the extent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6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43" w:lineRule="exact"/>
        <w:rPr>
          <w:sz w:val="20"/>
          <w:szCs w:val="20"/>
          <w:color w:val="auto"/>
        </w:rPr>
      </w:pPr>
    </w:p>
    <w:p>
      <w:pPr>
        <w:jc w:val="both"/>
        <w:ind w:right="20"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 and each person who holds a position of senior vice president (or equivalent) or higher of the Company.</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37" w:lineRule="auto"/>
        <w:tabs>
          <w:tab w:leader="none" w:pos="31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spacing w:after="0" w:line="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ACKNOWLEDGMENT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PERTAINING TO THE LANDS’ END, INC. CLAWBACK POLICY</w:t>
      </w:r>
    </w:p>
    <w:p>
      <w:pPr>
        <w:spacing w:after="0" w:line="21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1"/>
          <w:szCs w:val="21"/>
          <w:color w:val="auto"/>
        </w:rPr>
        <w:t>In consideration of, and as a condition to, the receipt of future cash and equity incentive compensation from Lands’ End, Inc. (the “Company”), _________________ (“Executive”) and the Company are entering into this Acknowledgment Agreement.</w:t>
      </w:r>
    </w:p>
    <w:p>
      <w:pPr>
        <w:spacing w:after="0" w:line="135" w:lineRule="exact"/>
        <w:rPr>
          <w:sz w:val="20"/>
          <w:szCs w:val="20"/>
          <w:color w:val="auto"/>
        </w:rPr>
      </w:pPr>
    </w:p>
    <w:p>
      <w:pPr>
        <w:jc w:val="both"/>
        <w:ind w:left="760" w:hanging="378"/>
        <w:spacing w:after="0" w:line="239"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compensation received by Executive may be subject to reduction, cancellation, forfeiture and/or recoupment to the extent necessary to comply with the Clawback Policy adopted by the Board of Directors of the Company (as amended from time to time, the “Policy”). Executive acknowledges that Executive has received and has had an opportunity to review the Policy.</w:t>
      </w:r>
    </w:p>
    <w:p>
      <w:pPr>
        <w:spacing w:after="0" w:line="180"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to the terms of the Policy, including that any compensation received by Executive shall be subject to and conditioned upon the provisions of the Policy.</w:t>
      </w:r>
    </w:p>
    <w:p>
      <w:pPr>
        <w:spacing w:after="0" w:line="158"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further acknowledges and agrees that Executive is not entitled to indemnification in connection with any enforcement of the Policy and expressly waives any rights to such indemnification under the Company’s organizational documents or otherwise.</w:t>
      </w:r>
    </w:p>
    <w:p>
      <w:pPr>
        <w:spacing w:after="0" w:line="173"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take all actions requested by the Company in order to enable or facilitate the enforcement of the Policy (including, without limitation, any reduction, cancellation, forfeiture or recoupment of any compensation that Executive has received or to which Executive may become entitled).</w:t>
      </w:r>
    </w:p>
    <w:p>
      <w:pPr>
        <w:spacing w:after="0" w:line="173"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recovery right under the Policy conflicts with any other contractual rights Executive may have with the Company or any affiliate, Executive understands that the terms of the Policy shall supersede any such contractual rights. Executive agrees that no recovery of compensation under the Policy will be an event that triggers or contributes to any right of Executive to resign for “good reason” or “constructive termination” (or similar term) under any agreement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28460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28460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8460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8460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 END,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28460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8460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8460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28460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5" w:name="page116"/>
    <w:bookmarkEnd w:id="1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lvl w:ilvl="1">
      <w:lvlJc w:val="left"/>
      <w:lvlText w:val="•"/>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
      <w:numFmt w:val="bullet"/>
      <w:start w:val="1"/>
    </w:lvl>
    <w:lvl w:ilvl="1">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lowerRoman"/>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2"/>
    </w:lvl>
  </w:abstractNum>
  <w:abstractNum w:abstractNumId="40">
    <w:nsid w:val="235BA861"/>
    <w:multiLevelType w:val="hybridMultilevel"/>
    <w:lvl w:ilvl="0">
      <w:lvlJc w:val="left"/>
      <w:lvlText w:val="%1."/>
      <w:numFmt w:val="decimal"/>
      <w:start w:val="3"/>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2"/>
    </w:lvl>
  </w:abstractNum>
  <w:abstractNum w:abstractNumId="48">
    <w:nsid w:val="61574095"/>
    <w:multiLevelType w:val="hybridMultilevel"/>
    <w:lvl w:ilvl="0">
      <w:lvlJc w:val="left"/>
      <w:lvlText w:val="%1."/>
      <w:numFmt w:val="decimal"/>
      <w:start w:val="3"/>
    </w:lvl>
  </w:abstractNum>
  <w:abstractNum w:abstractNumId="49">
    <w:nsid w:val="7E0C57B1"/>
    <w:multiLevelType w:val="hybridMultilevel"/>
    <w:lvl w:ilvl="0">
      <w:lvlJc w:val="left"/>
      <w:lvlText w:val="%1."/>
      <w:numFmt w:val="decimal"/>
      <w:start w:val="4"/>
    </w:lvl>
  </w:abstractNum>
  <w:abstractNum w:abstractNumId="50">
    <w:nsid w:val="77AE35EB"/>
    <w:multiLevelType w:val="hybridMultilevel"/>
    <w:lvl w:ilvl="0">
      <w:lvlJc w:val="left"/>
      <w:lvlText w:val="%1."/>
      <w:numFmt w:val="decimal"/>
      <w:start w:val="5"/>
    </w:lvl>
  </w:abstractNum>
  <w:abstractNum w:abstractNumId="51">
    <w:nsid w:val="579BE4F1"/>
    <w:multiLevelType w:val="hybridMultilevel"/>
    <w:lvl w:ilvl="0">
      <w:lvlJc w:val="left"/>
      <w:lvlText w:val="%1."/>
      <w:numFmt w:val="decimal"/>
      <w:start w:val="6"/>
    </w:lvl>
  </w:abstractNum>
  <w:abstractNum w:abstractNumId="52">
    <w:nsid w:val="310C50B3"/>
    <w:multiLevelType w:val="hybridMultilevel"/>
    <w:lvl w:ilvl="0">
      <w:lvlJc w:val="left"/>
      <w:lvlText w:val="%1."/>
      <w:numFmt w:val="decimal"/>
      <w:start w:val="7"/>
    </w:lvl>
  </w:abstractNum>
  <w:abstractNum w:abstractNumId="53">
    <w:nsid w:val="5FF87E05"/>
    <w:multiLevelType w:val="hybridMultilevel"/>
    <w:lvl w:ilvl="0">
      <w:lvlJc w:val="left"/>
      <w:lvlText w:val="%1."/>
      <w:numFmt w:val="decimal"/>
      <w:start w:val="8"/>
    </w:lvl>
  </w:abstractNum>
  <w:abstractNum w:abstractNumId="54">
    <w:nsid w:val="2F305DEF"/>
    <w:multiLevelType w:val="hybridMultilevel"/>
    <w:lvl w:ilvl="0">
      <w:lvlJc w:val="left"/>
      <w:lvlText w:val="%1."/>
      <w:numFmt w:val="decimal"/>
      <w:start w:val="9"/>
    </w:lvl>
  </w:abstractNum>
  <w:abstractNum w:abstractNumId="55">
    <w:nsid w:val="25A70BF7"/>
    <w:multiLevelType w:val="hybridMultilevel"/>
    <w:lvl w:ilvl="0">
      <w:lvlJc w:val="left"/>
      <w:lvlText w:val="%1."/>
      <w:numFmt w:val="decimal"/>
      <w:start w:val="10"/>
    </w:lvl>
  </w:abstractNum>
  <w:abstractNum w:abstractNumId="56">
    <w:nsid w:val="1DBABF00"/>
    <w:multiLevelType w:val="hybridMultilevel"/>
    <w:lvl w:ilvl="0">
      <w:lvlJc w:val="left"/>
      <w:lvlText w:val="%1."/>
      <w:numFmt w:val="decimal"/>
      <w:start w:val="11"/>
    </w:lvl>
    <w:lvl w:ilvl="1">
      <w:lvlJc w:val="left"/>
      <w:lvlText w:val="\ldblquote"/>
      <w:numFmt w:val="bullet"/>
      <w:start w:val="1"/>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decimal"/>
      <w:start w:val="1"/>
    </w:lvl>
    <w:lvl w:ilvl="1">
      <w:lvlJc w:val="left"/>
      <w:lvlText w:val="%2."/>
      <w:numFmt w:val="lowerLetter"/>
      <w:start w:val="1"/>
    </w:lvl>
  </w:abstractNum>
  <w:abstractNum w:abstractNumId="59">
    <w:nsid w:val="1381823A"/>
    <w:multiLevelType w:val="hybridMultilevel"/>
    <w:lvl w:ilvl="0">
      <w:lvlJc w:val="left"/>
      <w:lvlText w:val="%1."/>
      <w:numFmt w:val="decimal"/>
      <w:start w:val="1"/>
    </w:lvl>
    <w:lvl w:ilvl="1">
      <w:lvlJc w:val="left"/>
      <w:lvlText w:val="%2."/>
      <w:numFmt w:val="lowerLetter"/>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2"/>
    </w:lvl>
  </w:abstractNum>
  <w:abstractNum w:abstractNumId="63">
    <w:nsid w:val="15014ACB"/>
    <w:multiLevelType w:val="hybridMultilevel"/>
    <w:lvl w:ilvl="0">
      <w:lvlJc w:val="left"/>
      <w:lvlText w:val="%1."/>
      <w:numFmt w:val="decimal"/>
      <w:start w:val="3"/>
    </w:lvl>
  </w:abstractNum>
  <w:abstractNum w:abstractNumId="64">
    <w:nsid w:val="5F5E7FD0"/>
    <w:multiLevelType w:val="hybridMultilevel"/>
    <w:lvl w:ilvl="0">
      <w:lvlJc w:val="left"/>
      <w:lvlText w:val="%1."/>
      <w:numFmt w:val="decimal"/>
      <w:start w:val="4"/>
    </w:lvl>
  </w:abstractNum>
  <w:abstractNum w:abstractNumId="65">
    <w:nsid w:val="98A3148"/>
    <w:multiLevelType w:val="hybridMultilevel"/>
    <w:lvl w:ilvl="0">
      <w:lvlJc w:val="left"/>
      <w:lvlText w:val="%1."/>
      <w:numFmt w:val="decimal"/>
      <w:start w:val="5"/>
    </w:lvl>
  </w:abstractNum>
  <w:abstractNum w:abstractNumId="66">
    <w:nsid w:val="799D0247"/>
    <w:multiLevelType w:val="hybridMultilevel"/>
    <w:lvl w:ilvl="0">
      <w:lvlJc w:val="left"/>
      <w:lvlText w:val="%1."/>
      <w:numFmt w:val="decimal"/>
      <w:start w:val="6"/>
    </w:lvl>
  </w:abstractNum>
  <w:abstractNum w:abstractNumId="67">
    <w:nsid w:val="6B94764"/>
    <w:multiLevelType w:val="hybridMultilevel"/>
    <w:lvl w:ilvl="0">
      <w:lvlJc w:val="left"/>
      <w:lvlText w:val="%1."/>
      <w:numFmt w:val="decimal"/>
      <w:start w:val="7"/>
    </w:lvl>
  </w:abstractNum>
  <w:abstractNum w:abstractNumId="68">
    <w:nsid w:val="42C296BD"/>
    <w:multiLevelType w:val="hybridMultilevel"/>
    <w:lvl w:ilvl="0">
      <w:lvlJc w:val="left"/>
      <w:lvlText w:val="%1."/>
      <w:numFmt w:val="decimal"/>
      <w:start w:val="8"/>
    </w:lvl>
  </w:abstractNum>
  <w:abstractNum w:abstractNumId="69">
    <w:nsid w:val="168E121F"/>
    <w:multiLevelType w:val="hybridMultilevel"/>
    <w:lvl w:ilvl="0">
      <w:lvlJc w:val="left"/>
      <w:lvlText w:val="%1."/>
      <w:numFmt w:val="decimal"/>
      <w:start w:val="9"/>
    </w:lvl>
  </w:abstractNum>
  <w:abstractNum w:abstractNumId="70">
    <w:nsid w:val="1EBA5D23"/>
    <w:multiLevelType w:val="hybridMultilevel"/>
    <w:lvl w:ilvl="0">
      <w:lvlJc w:val="left"/>
      <w:lvlText w:val="%1."/>
      <w:numFmt w:val="decimal"/>
      <w:start w:val="10"/>
    </w:lvl>
  </w:abstractNum>
  <w:abstractNum w:abstractNumId="71">
    <w:nsid w:val="661E3F1E"/>
    <w:multiLevelType w:val="hybridMultilevel"/>
    <w:lvl w:ilvl="0">
      <w:lvlJc w:val="left"/>
      <w:lvlText w:val="%1."/>
      <w:numFmt w:val="decimal"/>
      <w:start w:val="11"/>
    </w:lvl>
    <w:lvl w:ilvl="1">
      <w:lvlJc w:val="left"/>
      <w:lvlText w:val="\ldblquote"/>
      <w:numFmt w:val="bullet"/>
      <w:start w:val="1"/>
    </w:lvl>
  </w:abstractNum>
  <w:abstractNum w:abstractNumId="72">
    <w:nsid w:val="5DC79EA8"/>
    <w:multiLevelType w:val="hybridMultilevel"/>
    <w:lvl w:ilvl="0">
      <w:lvlJc w:val="left"/>
      <w:lvlText w:val="(%1)"/>
      <w:numFmt w:val="lowerRoman"/>
      <w:start w:val="2"/>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5" Type="http://schemas.openxmlformats.org/officeDocument/2006/relationships/image" Target="media/image197.png"/><Relationship Id="rId207" Type="http://schemas.openxmlformats.org/officeDocument/2006/relationships/image" Target="media/image198.png"/><Relationship Id="rId209" Type="http://schemas.openxmlformats.org/officeDocument/2006/relationships/image" Target="media/image199.png"/><Relationship Id="rId211" Type="http://schemas.openxmlformats.org/officeDocument/2006/relationships/image" Target="media/image200.png"/><Relationship Id="rId213"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9" Type="http://schemas.openxmlformats.org/officeDocument/2006/relationships/image" Target="media/image205.png"/><Relationship Id="rId221" Type="http://schemas.openxmlformats.org/officeDocument/2006/relationships/image" Target="media/image206.png"/><Relationship Id="rId223"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8" Type="http://schemas.openxmlformats.org/officeDocument/2006/relationships/image" Target="media/image210.png"/><Relationship Id="rId230" Type="http://schemas.openxmlformats.org/officeDocument/2006/relationships/image" Target="media/image211.png"/><Relationship Id="rId232" Type="http://schemas.openxmlformats.org/officeDocument/2006/relationships/image" Target="media/image212.png"/><Relationship Id="rId234" Type="http://schemas.openxmlformats.org/officeDocument/2006/relationships/image" Target="media/image213.png"/><Relationship Id="rId236" Type="http://schemas.openxmlformats.org/officeDocument/2006/relationships/image" Target="media/image214.png"/><Relationship Id="rId238" Type="http://schemas.openxmlformats.org/officeDocument/2006/relationships/image" Target="media/image215.png"/><Relationship Id="rId240" Type="http://schemas.openxmlformats.org/officeDocument/2006/relationships/image" Target="media/image216.png"/><Relationship Id="rId242"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8" Type="http://schemas.openxmlformats.org/officeDocument/2006/relationships/image" Target="media/image221.png"/><Relationship Id="rId250" Type="http://schemas.openxmlformats.org/officeDocument/2006/relationships/image" Target="media/image222.png"/><Relationship Id="rId252" Type="http://schemas.openxmlformats.org/officeDocument/2006/relationships/image" Target="media/image223.png"/><Relationship Id="rId254" Type="http://schemas.openxmlformats.org/officeDocument/2006/relationships/image" Target="media/image224.png"/><Relationship Id="rId256" Type="http://schemas.openxmlformats.org/officeDocument/2006/relationships/image" Target="media/image225.png"/><Relationship Id="rId258" Type="http://schemas.openxmlformats.org/officeDocument/2006/relationships/image" Target="media/image226.png"/><Relationship Id="rId260" Type="http://schemas.openxmlformats.org/officeDocument/2006/relationships/image" Target="media/image227.png"/><Relationship Id="rId262" Type="http://schemas.openxmlformats.org/officeDocument/2006/relationships/image" Target="media/image228.png"/><Relationship Id="rId264" Type="http://schemas.openxmlformats.org/officeDocument/2006/relationships/image" Target="media/image229.png"/><Relationship Id="rId266" Type="http://schemas.openxmlformats.org/officeDocument/2006/relationships/image" Target="media/image230.png"/><Relationship Id="rId268" Type="http://schemas.openxmlformats.org/officeDocument/2006/relationships/image" Target="media/image231.png"/><Relationship Id="rId270" Type="http://schemas.openxmlformats.org/officeDocument/2006/relationships/image" Target="media/image232.png"/><Relationship Id="rId272"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9" Type="http://schemas.openxmlformats.org/officeDocument/2006/relationships/image" Target="media/image237.png"/><Relationship Id="rId280" Type="http://schemas.openxmlformats.org/officeDocument/2006/relationships/image" Target="media/image238.png"/><Relationship Id="rId281" Type="http://schemas.openxmlformats.org/officeDocument/2006/relationships/image" Target="media/image239.png"/><Relationship Id="rId282" Type="http://schemas.openxmlformats.org/officeDocument/2006/relationships/image" Target="media/image240.png"/><Relationship Id="rId283" Type="http://schemas.openxmlformats.org/officeDocument/2006/relationships/image" Target="media/image241.png"/><Relationship Id="rId284" Type="http://schemas.openxmlformats.org/officeDocument/2006/relationships/image" Target="media/image242.png"/><Relationship Id="rId285" Type="http://schemas.openxmlformats.org/officeDocument/2006/relationships/image" Target="media/image243.png"/><Relationship Id="rId286" Type="http://schemas.openxmlformats.org/officeDocument/2006/relationships/image" Target="media/image244.png"/><Relationship Id="rId287" Type="http://schemas.openxmlformats.org/officeDocument/2006/relationships/image" Target="media/image245.png"/><Relationship Id="rId288" Type="http://schemas.openxmlformats.org/officeDocument/2006/relationships/image" Target="media/image246.png"/><Relationship Id="rId289" Type="http://schemas.openxmlformats.org/officeDocument/2006/relationships/image" Target="media/image247.png"/><Relationship Id="rId290" Type="http://schemas.openxmlformats.org/officeDocument/2006/relationships/image" Target="media/image248.png"/><Relationship Id="rId291" Type="http://schemas.openxmlformats.org/officeDocument/2006/relationships/image" Target="media/image249.png"/><Relationship Id="rId292" Type="http://schemas.openxmlformats.org/officeDocument/2006/relationships/image" Target="media/image250.png"/><Relationship Id="rId293" Type="http://schemas.openxmlformats.org/officeDocument/2006/relationships/image" Target="media/image251.png"/><Relationship Id="rId294" Type="http://schemas.openxmlformats.org/officeDocument/2006/relationships/image" Target="media/image252.png"/><Relationship Id="rId295" Type="http://schemas.openxmlformats.org/officeDocument/2006/relationships/image" Target="media/image253.png"/><Relationship Id="rId296" Type="http://schemas.openxmlformats.org/officeDocument/2006/relationships/image" Target="media/image254.png"/><Relationship Id="rId297" Type="http://schemas.openxmlformats.org/officeDocument/2006/relationships/image" Target="media/image255.png"/><Relationship Id="rId298" Type="http://schemas.openxmlformats.org/officeDocument/2006/relationships/image" Target="media/image256.png"/><Relationship Id="rId299" Type="http://schemas.openxmlformats.org/officeDocument/2006/relationships/image" Target="media/image257.png"/><Relationship Id="rId300" Type="http://schemas.openxmlformats.org/officeDocument/2006/relationships/image" Target="media/image258.png"/><Relationship Id="rId301" Type="http://schemas.openxmlformats.org/officeDocument/2006/relationships/image" Target="media/image259.png"/><Relationship Id="rId302" Type="http://schemas.openxmlformats.org/officeDocument/2006/relationships/image" Target="media/image260.png"/><Relationship Id="rId303" Type="http://schemas.openxmlformats.org/officeDocument/2006/relationships/image" Target="media/image261.png"/><Relationship Id="rId304" Type="http://schemas.openxmlformats.org/officeDocument/2006/relationships/image" Target="media/image262.png"/><Relationship Id="rId305" Type="http://schemas.openxmlformats.org/officeDocument/2006/relationships/image" Target="media/image263.png"/><Relationship Id="rId306" Type="http://schemas.openxmlformats.org/officeDocument/2006/relationships/image" Target="media/image264.png"/><Relationship Id="rId307" Type="http://schemas.openxmlformats.org/officeDocument/2006/relationships/image" Target="media/image265.png"/><Relationship Id="rId308" Type="http://schemas.openxmlformats.org/officeDocument/2006/relationships/image" Target="media/image266.png"/><Relationship Id="rId309" Type="http://schemas.openxmlformats.org/officeDocument/2006/relationships/image" Target="media/image267.png"/><Relationship Id="rId310" Type="http://schemas.openxmlformats.org/officeDocument/2006/relationships/image" Target="media/image268.png"/><Relationship Id="rId311" Type="http://schemas.openxmlformats.org/officeDocument/2006/relationships/image" Target="media/image269.png"/><Relationship Id="rId312" Type="http://schemas.openxmlformats.org/officeDocument/2006/relationships/image" Target="media/image270.png"/><Relationship Id="rId313" Type="http://schemas.openxmlformats.org/officeDocument/2006/relationships/image" Target="media/image271.png"/><Relationship Id="rId314" Type="http://schemas.openxmlformats.org/officeDocument/2006/relationships/image" Target="media/image272.png"/><Relationship Id="rId315" Type="http://schemas.openxmlformats.org/officeDocument/2006/relationships/image" Target="media/image273.png"/><Relationship Id="rId316" Type="http://schemas.openxmlformats.org/officeDocument/2006/relationships/image" Target="media/image274.png"/><Relationship Id="rId317" Type="http://schemas.openxmlformats.org/officeDocument/2006/relationships/image" Target="media/image275.png"/><Relationship Id="rId318" Type="http://schemas.openxmlformats.org/officeDocument/2006/relationships/image" Target="media/image276.png"/><Relationship Id="rId319" Type="http://schemas.openxmlformats.org/officeDocument/2006/relationships/image" Target="media/image277.png"/><Relationship Id="rId204" Type="http://schemas.openxmlformats.org/officeDocument/2006/relationships/hyperlink" Target="https://www.sec.gov/Archives/edgar/data/799288/000119312514134340/d703946dex21.htm" TargetMode="External"/><Relationship Id="rId206" Type="http://schemas.openxmlformats.org/officeDocument/2006/relationships/hyperlink" Target="https://www.sec.gov/Archives/edgar/data/799288/000156459022011688/le-ex31_240.htm" TargetMode="External"/><Relationship Id="rId208" Type="http://schemas.openxmlformats.org/officeDocument/2006/relationships/hyperlink" Target="https://www.sec.gov/Archives/edgar/data/799288/000119312514134340/d703946dex31.htm" TargetMode="External"/><Relationship Id="rId210" Type="http://schemas.openxmlformats.org/officeDocument/2006/relationships/hyperlink" Target="https://www.sec.gov/Archives/edgar/data/799288/000079928818000022/a20180202exhibit42.htm" TargetMode="External"/><Relationship Id="rId212" Type="http://schemas.openxmlformats.org/officeDocument/2006/relationships/hyperlink" Target="https://www.sec.gov/Archives/edgar/data/0000799288/000156459020012223/le-ex42_136.htm" TargetMode="External"/><Relationship Id="rId214" Type="http://schemas.openxmlformats.org/officeDocument/2006/relationships/hyperlink" Target="https://www.sec.gov/Archives/edgar/data/0000799288/000156459020043000/le-ex41_11.htm" TargetMode="External"/><Relationship Id="rId218" Type="http://schemas.openxmlformats.org/officeDocument/2006/relationships/hyperlink" Target="https://www.sec.gov/Archives/edgar/data/799288/000156459021040847/le-ex41_7.htm" TargetMode="External"/><Relationship Id="rId220" Type="http://schemas.openxmlformats.org/officeDocument/2006/relationships/hyperlink" Target="https://www.sec.gov/Archives/edgar/data/0000799288/000110465923061925/tm2315710d1_4-1.htm" TargetMode="External"/><Relationship Id="rId222" Type="http://schemas.openxmlformats.org/officeDocument/2006/relationships/hyperlink" Target="https://www.sec.gov/Archives/edgar/data/0000799288/000095017024001005/le-ex4_1.htm" TargetMode="External"/><Relationship Id="rId224" Type="http://schemas.openxmlformats.org/officeDocument/2006/relationships/hyperlink" Target="https://www.sec.gov/Archives/edgar/data/0000799288/000095017024001005/le-ex4_2.htm" TargetMode="External"/><Relationship Id="rId227" Type="http://schemas.openxmlformats.org/officeDocument/2006/relationships/hyperlink" Target="https://www.sec.gov/Archives/edgar/data/799288/000079928819000051/landsendincamendedandresta.htm" TargetMode="External"/><Relationship Id="rId229" Type="http://schemas.openxmlformats.org/officeDocument/2006/relationships/hyperlink" Target="https://www.sec.gov/Archives/edgar/data/799288/000095017023027727/le-ex10_1.htm" TargetMode="External"/><Relationship Id="rId231" Type="http://schemas.openxmlformats.org/officeDocument/2006/relationships/hyperlink" Target="https://www.sec.gov/Archives/edgar/data/799288/000079928819000030/exhibit1021-directorcompen.htm" TargetMode="External"/><Relationship Id="rId233" Type="http://schemas.openxmlformats.org/officeDocument/2006/relationships/hyperlink" Target="https://www.sec.gov/Archives/edgar/data/799288/000079928815000017/exhibit101220150130leumbre.htm" TargetMode="External"/><Relationship Id="rId235" Type="http://schemas.openxmlformats.org/officeDocument/2006/relationships/hyperlink" Target="https://www.sec.gov/Archives/edgar/data/799288/000079928815000017/exhibit101120150130le2014s.htm" TargetMode="External"/><Relationship Id="rId237" Type="http://schemas.openxmlformats.org/officeDocument/2006/relationships/hyperlink" Target="https://www.sec.gov/Archives/edgar/data/799288/000095017023012307/le-ex10_5.htm" TargetMode="External"/><Relationship Id="rId239" Type="http://schemas.openxmlformats.org/officeDocument/2006/relationships/hyperlink" Target="https://www.sec.gov/Archives/edgar/data/799288/000095017023012307/le-ex10_6.htm" TargetMode="External"/><Relationship Id="rId241" Type="http://schemas.openxmlformats.org/officeDocument/2006/relationships/hyperlink" Target="https://www.sec.gov/Archives/edgar/data/799288/000095017023012307/le-ex10_7.htm" TargetMode="External"/><Relationship Id="rId243" Type="http://schemas.openxmlformats.org/officeDocument/2006/relationships/hyperlink" Target="https://www.sec.gov/Archives/edgar/data/799288/000079928815000017/exhibit101620150130leannua.htm" TargetMode="External"/><Relationship Id="rId247" Type="http://schemas.openxmlformats.org/officeDocument/2006/relationships/hyperlink" Target="https://www.sec.gov/Archives/edgar/data/799288/000079928815000017/exhibit101420150130leltip.htm" TargetMode="External"/><Relationship Id="rId249" Type="http://schemas.openxmlformats.org/officeDocument/2006/relationships/hyperlink" Target="https://www.sec.gov/Archives/edgar/data/799288/000079928815000017/exhibit101520150130lecashl.htm" TargetMode="External"/><Relationship Id="rId251" Type="http://schemas.openxmlformats.org/officeDocument/2006/relationships/hyperlink" Target="https://www.sec.gov/Archives/edgar/data/799288/000156459022038838/le-ex101_124.htm" TargetMode="External"/><Relationship Id="rId253" Type="http://schemas.openxmlformats.org/officeDocument/2006/relationships/hyperlink" Target="https://www.sec.gov/Archives/edgar/data/799288/000156459022038838/le-ex102_123.htm" TargetMode="External"/><Relationship Id="rId255" Type="http://schemas.openxmlformats.org/officeDocument/2006/relationships/hyperlink" Target="https://www.sec.gov/Archives/edgar/data/799288/000110465922114886/tm2229442d1_ex99-2.htm" TargetMode="External"/><Relationship Id="rId257" Type="http://schemas.openxmlformats.org/officeDocument/2006/relationships/hyperlink" Target="https://www.sec.gov/Archives/edgar/data/799288/000110465922114886/tm2229442d1_ex99-3.htm" TargetMode="External"/><Relationship Id="rId259" Type="http://schemas.openxmlformats.org/officeDocument/2006/relationships/hyperlink" Target="https://www.sec.gov/Archives/edgar/data/799288/000079928817000084/a20170428exhibit101-grayof.htm" TargetMode="External"/><Relationship Id="rId261" Type="http://schemas.openxmlformats.org/officeDocument/2006/relationships/hyperlink" Target="https://www.sec.gov/Archives/edgar/data/799288/000156459021046967/le-ex103_131.htm" TargetMode="External"/><Relationship Id="rId263" Type="http://schemas.openxmlformats.org/officeDocument/2006/relationships/hyperlink" Target="https://www.sec.gov/Archives/edgar/data/799288/000095017023012307/le-ex10_27.htm" TargetMode="External"/><Relationship Id="rId265" Type="http://schemas.openxmlformats.org/officeDocument/2006/relationships/hyperlink" Target="https://www.sec.gov/Archives/edgar/data/799288/000156459021015555/le-ex1024_326.htm" TargetMode="External"/><Relationship Id="rId267" Type="http://schemas.openxmlformats.org/officeDocument/2006/relationships/hyperlink" Target="https://www.sec.gov/Archives/edgar/data/799288/000156459021015555/le-ex1025_325.htm" TargetMode="External"/><Relationship Id="rId269" Type="http://schemas.openxmlformats.org/officeDocument/2006/relationships/hyperlink" Target="https://www.sec.gov/Archives/edgar/data/799288/000156459021015555/le-ex1026_324.htm" TargetMode="External"/><Relationship Id="rId271" Type="http://schemas.openxmlformats.org/officeDocument/2006/relationships/hyperlink" Target="https://www.sec.gov/Archives/edgar/data/0000799288/000095017023068256/le-ex10_1.htm" TargetMode="External"/><Relationship Id="rId273" Type="http://schemas.openxmlformats.org/officeDocument/2006/relationships/hyperlink" Target="https://www.sec.gov/Archives/edgar/data/0000799288/000095017023068256/le-ex10_2.htm" TargetMode="External"/><Relationship Id="rId277" Type="http://schemas.openxmlformats.org/officeDocument/2006/relationships/hyperlink" Target="https://www.sec.gov/Archives/edgar/data/799288/000095017023045792/le-ex10_2.htm" TargetMode="External"/><Relationship Id="rId278" Type="http://schemas.openxmlformats.org/officeDocument/2006/relationships/hyperlink" Target="https://www.sec.gov/Archives/edgar/data/799288/000095017023045792/le-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2024-04-03T15:34:02Z</dcterms:created>
  <dcterms:modified xsi:type="dcterms:W3CDTF">2024-04-03T15:34:02Z</dcterms:modified>
</cp:coreProperties>
</file>